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B90" w:rsidRDefault="00AE3B90" w:rsidP="00AE3B90">
      <w:pPr>
        <w:pStyle w:val="Default"/>
      </w:pPr>
    </w:p>
    <w:p w:rsidR="00AE3B90" w:rsidRDefault="00AE3B90" w:rsidP="00DA371A">
      <w:pPr>
        <w:pStyle w:val="Default"/>
        <w:jc w:val="center"/>
        <w:rPr>
          <w:rFonts w:ascii="Calibri" w:hAnsi="Calibri" w:cs="Calibri"/>
          <w:color w:val="auto"/>
          <w:sz w:val="23"/>
          <w:szCs w:val="23"/>
        </w:rPr>
      </w:pPr>
      <w:r>
        <w:rPr>
          <w:rFonts w:ascii="Calibri" w:hAnsi="Calibri" w:cs="Calibri"/>
          <w:b/>
          <w:bCs/>
          <w:color w:val="auto"/>
          <w:sz w:val="23"/>
          <w:szCs w:val="23"/>
        </w:rPr>
        <w:t>CHILDHOOD EYE CANCER TRUST</w:t>
      </w:r>
    </w:p>
    <w:p w:rsidR="00AE3B90" w:rsidRDefault="00AE3B90" w:rsidP="00DA371A">
      <w:pPr>
        <w:pStyle w:val="Default"/>
        <w:jc w:val="center"/>
        <w:rPr>
          <w:rFonts w:ascii="Calibri" w:hAnsi="Calibri" w:cs="Calibri"/>
          <w:color w:val="auto"/>
          <w:sz w:val="23"/>
          <w:szCs w:val="23"/>
        </w:rPr>
      </w:pPr>
      <w:r>
        <w:rPr>
          <w:rFonts w:ascii="Calibri" w:hAnsi="Calibri" w:cs="Calibri"/>
          <w:b/>
          <w:bCs/>
          <w:color w:val="auto"/>
          <w:sz w:val="23"/>
          <w:szCs w:val="23"/>
        </w:rPr>
        <w:t>PROGRESS REPORT NOV 2012 - APRIL 2013</w:t>
      </w:r>
    </w:p>
    <w:p w:rsidR="00AE3B90" w:rsidRDefault="00AE3B90" w:rsidP="00DA371A">
      <w:pPr>
        <w:pStyle w:val="Default"/>
        <w:jc w:val="center"/>
        <w:rPr>
          <w:rFonts w:ascii="Calibri" w:hAnsi="Calibri" w:cs="Calibri"/>
          <w:color w:val="auto"/>
          <w:sz w:val="23"/>
          <w:szCs w:val="23"/>
        </w:rPr>
      </w:pPr>
      <w:r>
        <w:rPr>
          <w:rFonts w:ascii="Calibri" w:hAnsi="Calibri" w:cs="Calibri"/>
          <w:b/>
          <w:bCs/>
          <w:color w:val="auto"/>
          <w:sz w:val="23"/>
          <w:szCs w:val="23"/>
        </w:rPr>
        <w:t>(NOV 2013 UPDATE)</w:t>
      </w:r>
    </w:p>
    <w:p w:rsidR="00AE3B90" w:rsidRDefault="00AE3B90" w:rsidP="00DA371A">
      <w:pPr>
        <w:pStyle w:val="Default"/>
        <w:jc w:val="center"/>
        <w:rPr>
          <w:rFonts w:ascii="Calibri" w:hAnsi="Calibri" w:cs="Calibri"/>
          <w:color w:val="auto"/>
          <w:sz w:val="23"/>
          <w:szCs w:val="23"/>
        </w:rPr>
      </w:pPr>
      <w:r>
        <w:rPr>
          <w:rFonts w:ascii="Calibri" w:hAnsi="Calibri" w:cs="Calibri"/>
          <w:b/>
          <w:bCs/>
          <w:color w:val="auto"/>
          <w:sz w:val="23"/>
          <w:szCs w:val="23"/>
        </w:rPr>
        <w:t>EPIGENETIC MECHANISMS IN RETINOBLASTOMA TUMORIGENESIS</w:t>
      </w:r>
    </w:p>
    <w:p w:rsidR="00AE3B90" w:rsidRDefault="00AE3B90" w:rsidP="00DA371A">
      <w:pPr>
        <w:pStyle w:val="Default"/>
        <w:jc w:val="center"/>
        <w:rPr>
          <w:rFonts w:ascii="Calibri" w:hAnsi="Calibri" w:cs="Calibri"/>
          <w:color w:val="auto"/>
          <w:sz w:val="22"/>
          <w:szCs w:val="22"/>
        </w:rPr>
      </w:pPr>
      <w:r>
        <w:rPr>
          <w:rFonts w:ascii="Calibri" w:hAnsi="Calibri" w:cs="Calibri"/>
          <w:color w:val="auto"/>
          <w:sz w:val="22"/>
          <w:szCs w:val="22"/>
        </w:rPr>
        <w:t xml:space="preserve">C </w:t>
      </w:r>
      <w:proofErr w:type="spellStart"/>
      <w:r>
        <w:rPr>
          <w:rFonts w:ascii="Calibri" w:hAnsi="Calibri" w:cs="Calibri"/>
          <w:color w:val="auto"/>
          <w:sz w:val="22"/>
          <w:szCs w:val="22"/>
        </w:rPr>
        <w:t>McConville</w:t>
      </w:r>
      <w:proofErr w:type="spellEnd"/>
      <w:r>
        <w:rPr>
          <w:rFonts w:ascii="Calibri" w:hAnsi="Calibri" w:cs="Calibri"/>
          <w:color w:val="auto"/>
          <w:sz w:val="22"/>
          <w:szCs w:val="22"/>
        </w:rPr>
        <w:t xml:space="preserve">, K Chiang, MA </w:t>
      </w:r>
      <w:proofErr w:type="spellStart"/>
      <w:r>
        <w:rPr>
          <w:rFonts w:ascii="Calibri" w:hAnsi="Calibri" w:cs="Calibri"/>
          <w:color w:val="auto"/>
          <w:sz w:val="22"/>
          <w:szCs w:val="22"/>
        </w:rPr>
        <w:t>Brundler</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Parulekar</w:t>
      </w:r>
      <w:proofErr w:type="spellEnd"/>
      <w:r>
        <w:rPr>
          <w:rFonts w:ascii="Calibri" w:hAnsi="Calibri" w:cs="Calibri"/>
          <w:color w:val="auto"/>
          <w:sz w:val="22"/>
          <w:szCs w:val="22"/>
        </w:rPr>
        <w:t>, H Jenkinson</w:t>
      </w:r>
    </w:p>
    <w:p w:rsidR="00DA371A" w:rsidRDefault="00DA371A" w:rsidP="00AE3B90">
      <w:pPr>
        <w:pStyle w:val="Default"/>
        <w:rPr>
          <w:rFonts w:ascii="Calibri" w:hAnsi="Calibri" w:cs="Calibri"/>
          <w:b/>
          <w:bCs/>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color w:val="auto"/>
          <w:sz w:val="22"/>
          <w:szCs w:val="22"/>
        </w:rPr>
        <w:t xml:space="preserve">BACKGROUND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Our recent gene expression profiling results highlighted DEK as a candidate gene potentially involved in blocking retinal/photoreceptor differentiation in a subset of retinoblastomas. Although approximately one-third of retinoblastomas showed high expression of many genes associated with cone photoreceptor development and function e.g. RXRG, THRB, cone opsins and cone-specific </w:t>
      </w:r>
      <w:proofErr w:type="spellStart"/>
      <w:r>
        <w:rPr>
          <w:rFonts w:ascii="Calibri" w:hAnsi="Calibri" w:cs="Calibri"/>
          <w:color w:val="auto"/>
          <w:sz w:val="22"/>
          <w:szCs w:val="22"/>
        </w:rPr>
        <w:t>phosphodiesterases</w:t>
      </w:r>
      <w:proofErr w:type="spellEnd"/>
      <w:r>
        <w:rPr>
          <w:rFonts w:ascii="Calibri" w:hAnsi="Calibri" w:cs="Calibri"/>
          <w:color w:val="auto"/>
          <w:sz w:val="22"/>
          <w:szCs w:val="22"/>
        </w:rPr>
        <w:t>, in contrast the remainder showed down-regulation of these genes, concomitant with an increased frequency of chromosome 6p gain and DEK up-regulation. This latter group of tumours also showed an increased level of choroid and optic nerve invasion, suggestive of a more aggressive clinical phenotype</w:t>
      </w:r>
      <w:r>
        <w:rPr>
          <w:rFonts w:ascii="Calibri" w:hAnsi="Calibri" w:cs="Calibri"/>
          <w:color w:val="auto"/>
          <w:sz w:val="13"/>
          <w:szCs w:val="13"/>
        </w:rPr>
        <w:t>1</w:t>
      </w:r>
      <w:r>
        <w:rPr>
          <w:rFonts w:ascii="Calibri" w:hAnsi="Calibri" w:cs="Calibri"/>
          <w:color w:val="auto"/>
          <w:sz w:val="22"/>
          <w:szCs w:val="22"/>
        </w:rPr>
        <w:t xml:space="preserve">.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DEK is a histone chaperone which functions to recruit histones, histone modifiers and chromatin remodelling factors and to modulate their interaction with DNA</w:t>
      </w:r>
      <w:r>
        <w:rPr>
          <w:rFonts w:ascii="Calibri" w:hAnsi="Calibri" w:cs="Calibri"/>
          <w:color w:val="auto"/>
          <w:sz w:val="13"/>
          <w:szCs w:val="13"/>
        </w:rPr>
        <w:t>2</w:t>
      </w:r>
      <w:r>
        <w:rPr>
          <w:rFonts w:ascii="Calibri" w:hAnsi="Calibri" w:cs="Calibri"/>
          <w:color w:val="auto"/>
          <w:sz w:val="22"/>
          <w:szCs w:val="22"/>
        </w:rPr>
        <w:t>. The effects of DEK are likely to be context specific and it has been reported to function both in transcriptional repressor complexes and also at the promoters of actively transcribed genes</w:t>
      </w:r>
      <w:r>
        <w:rPr>
          <w:rFonts w:ascii="Calibri" w:hAnsi="Calibri" w:cs="Calibri"/>
          <w:color w:val="auto"/>
          <w:sz w:val="13"/>
          <w:szCs w:val="13"/>
        </w:rPr>
        <w:t>2</w:t>
      </w:r>
      <w:r>
        <w:rPr>
          <w:rFonts w:ascii="Calibri" w:hAnsi="Calibri" w:cs="Calibri"/>
          <w:color w:val="auto"/>
          <w:sz w:val="22"/>
          <w:szCs w:val="22"/>
        </w:rPr>
        <w:t>. It has also been shown to interact directly with heterochromatin protein 1</w:t>
      </w:r>
      <w:r>
        <w:rPr>
          <w:rFonts w:ascii="Calibri" w:hAnsi="Calibri" w:cs="Calibri"/>
          <w:color w:val="auto"/>
          <w:sz w:val="22"/>
          <w:szCs w:val="22"/>
        </w:rPr>
        <w:t></w:t>
      </w:r>
      <w:r>
        <w:rPr>
          <w:rFonts w:ascii="Calibri" w:hAnsi="Calibri" w:cs="Calibri"/>
          <w:color w:val="auto"/>
          <w:sz w:val="22"/>
          <w:szCs w:val="22"/>
        </w:rPr>
        <w:t>(HP1</w:t>
      </w:r>
      <w:r>
        <w:rPr>
          <w:rFonts w:ascii="Calibri" w:hAnsi="Calibri" w:cs="Calibri"/>
          <w:color w:val="auto"/>
          <w:sz w:val="22"/>
          <w:szCs w:val="22"/>
        </w:rPr>
        <w:t>), enhancing its binding to H3K9me3, which is important for global maintenance of heterochromatic regions</w:t>
      </w:r>
      <w:r>
        <w:rPr>
          <w:rFonts w:ascii="Calibri" w:hAnsi="Calibri" w:cs="Calibri"/>
          <w:color w:val="auto"/>
          <w:sz w:val="13"/>
          <w:szCs w:val="13"/>
        </w:rPr>
        <w:t>3</w:t>
      </w:r>
      <w:r>
        <w:rPr>
          <w:rFonts w:ascii="Calibri" w:hAnsi="Calibri" w:cs="Calibri"/>
          <w:color w:val="auto"/>
          <w:sz w:val="22"/>
          <w:szCs w:val="22"/>
        </w:rPr>
        <w:t xml:space="preserve">.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The purpose of this research project is to test the hypothesis that DEK contributes to the negative regulation of retinal differentiation and that this involves epigenetic regulation of genes encoding transcription factors critical for photoreceptor/cone development and differentiation.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The specific project aims are: </w:t>
      </w:r>
    </w:p>
    <w:p w:rsidR="00AE3B90" w:rsidRDefault="00AE3B90" w:rsidP="00AE3B90">
      <w:pPr>
        <w:pStyle w:val="Default"/>
        <w:spacing w:after="20"/>
        <w:rPr>
          <w:rFonts w:ascii="Calibri" w:hAnsi="Calibri" w:cs="Calibri"/>
          <w:color w:val="auto"/>
          <w:sz w:val="22"/>
          <w:szCs w:val="22"/>
        </w:rPr>
      </w:pPr>
      <w:r>
        <w:rPr>
          <w:rFonts w:ascii="Calibri" w:hAnsi="Calibri" w:cs="Calibri"/>
          <w:color w:val="auto"/>
          <w:sz w:val="22"/>
          <w:szCs w:val="22"/>
        </w:rPr>
        <w:t xml:space="preserve">1. To investigate the cellular and molecular consequences of DEK knockdown in retinoblastoma cell lines.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2. To investigate the effects of DEK on chromatin histone modifications at gene loci encoding retinal transcription factors. </w:t>
      </w:r>
    </w:p>
    <w:p w:rsidR="00AE3B90" w:rsidRDefault="00AE3B90"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color w:val="auto"/>
          <w:sz w:val="22"/>
          <w:szCs w:val="22"/>
        </w:rPr>
        <w:t xml:space="preserve">PROGRESS REPORT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Initial investigations (described in a previous report) established that DEK is expressed at high levels in all 7 retinoblastoma cell lines examined (BCH-RB31, 32, 33, 34, 35, 37 and Y79) with an 8 to 18-fold increase relative to normal retina. Similar to our gene expression profiling of retinoblastoma tumours, the cell lines showed variable expression of a range of genes encoding retinal transcription factors, but overall most cell lines showed down-regulation of markers associated with the mature retina including the cone photoreceptor gene ARR3, and up-regulation of markers important for cell fate determination in the developing retina e.g. ATOH7, CRX, OTX2, FOXN4 and RXRG. </w:t>
      </w:r>
    </w:p>
    <w:p w:rsidR="00DA371A" w:rsidRDefault="00DA371A" w:rsidP="00AE3B90">
      <w:pPr>
        <w:pStyle w:val="Default"/>
        <w:rPr>
          <w:rFonts w:ascii="Calibri" w:hAnsi="Calibri" w:cs="Calibri"/>
          <w:b/>
          <w:bCs/>
          <w:i/>
          <w:iCs/>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i/>
          <w:iCs/>
          <w:color w:val="auto"/>
          <w:sz w:val="22"/>
          <w:szCs w:val="22"/>
        </w:rPr>
        <w:t xml:space="preserve">Cellular and molecular consequences of DEK knockdown in retinoblastoma cell lines. </w:t>
      </w:r>
    </w:p>
    <w:p w:rsidR="00AE3B90" w:rsidRDefault="00AE3B90" w:rsidP="00DA371A">
      <w:pPr>
        <w:pStyle w:val="Default"/>
        <w:rPr>
          <w:rFonts w:ascii="Calibri" w:hAnsi="Calibri" w:cs="Calibri"/>
          <w:color w:val="auto"/>
          <w:sz w:val="22"/>
          <w:szCs w:val="22"/>
        </w:rPr>
      </w:pPr>
      <w:r>
        <w:rPr>
          <w:rFonts w:ascii="Calibri" w:hAnsi="Calibri" w:cs="Calibri"/>
          <w:color w:val="auto"/>
          <w:sz w:val="22"/>
          <w:szCs w:val="22"/>
        </w:rPr>
        <w:t>Our next objective was to undertake DEK knockdown using two independent DEK-</w:t>
      </w:r>
      <w:proofErr w:type="spellStart"/>
      <w:r>
        <w:rPr>
          <w:rFonts w:ascii="Calibri" w:hAnsi="Calibri" w:cs="Calibri"/>
          <w:color w:val="auto"/>
          <w:sz w:val="22"/>
          <w:szCs w:val="22"/>
        </w:rPr>
        <w:t>shRNAs</w:t>
      </w:r>
      <w:proofErr w:type="spellEnd"/>
      <w:r>
        <w:rPr>
          <w:rFonts w:ascii="Calibri" w:hAnsi="Calibri" w:cs="Calibri"/>
          <w:color w:val="auto"/>
          <w:sz w:val="22"/>
          <w:szCs w:val="22"/>
        </w:rPr>
        <w:t xml:space="preserve"> in at least two different retinoblastoma cell lines. This proved to be a challenging task as these cells were found to have a very low efficiency of shRNA uptake using lentiviral-mediated transduction, due to their non-adherent growth pattern and tendency to form tight clumps in culture. However over the course of the project we have achieved DEK shRNA transfer into Y79, BCH-RB31 and BCH-RB37 cell lines using </w:t>
      </w:r>
      <w:proofErr w:type="spellStart"/>
      <w:r>
        <w:rPr>
          <w:rFonts w:ascii="Calibri" w:hAnsi="Calibri" w:cs="Calibri"/>
          <w:color w:val="auto"/>
          <w:sz w:val="22"/>
          <w:szCs w:val="22"/>
        </w:rPr>
        <w:t>shRNAs</w:t>
      </w:r>
      <w:proofErr w:type="spellEnd"/>
      <w:r>
        <w:rPr>
          <w:rFonts w:ascii="Calibri" w:hAnsi="Calibri" w:cs="Calibri"/>
          <w:color w:val="auto"/>
          <w:sz w:val="22"/>
          <w:szCs w:val="22"/>
        </w:rPr>
        <w:t xml:space="preserve"> targeting DEK exon 7 (DEK1-shRNA) and exon 4 (DEK4-shRNA). Cell lines containing a non-silencing (NS) control shRNA were also generated. We are still in the process of expanding the RB31 and RB37 cell lines (i.e. DEK1, DEK4 and DEK-NS transduced sub-lines) for storage and experimentation, so results are only reported for Y79- DEK1, Y79-DEK4 and Y79-NS.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Introduction of DEK-</w:t>
      </w:r>
      <w:proofErr w:type="spellStart"/>
      <w:r>
        <w:rPr>
          <w:rFonts w:ascii="Calibri" w:hAnsi="Calibri" w:cs="Calibri"/>
          <w:color w:val="auto"/>
          <w:sz w:val="22"/>
          <w:szCs w:val="22"/>
        </w:rPr>
        <w:t>shRNAs</w:t>
      </w:r>
      <w:proofErr w:type="spellEnd"/>
      <w:r>
        <w:rPr>
          <w:rFonts w:ascii="Calibri" w:hAnsi="Calibri" w:cs="Calibri"/>
          <w:color w:val="auto"/>
          <w:sz w:val="22"/>
          <w:szCs w:val="22"/>
        </w:rPr>
        <w:t xml:space="preserve"> into Y79 cells was highly effective in reducing DEK expression at the level of both mRNA and protein. In Y79-DEK1 and Y79-DEK4 cells lines mRNA expression was reduced to 11% and 15% of the control (Y79-NS) respectively; equivalent figures for DEK protein were 12% and 21% (Figure 1).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Down-regulation of DEK was observed to result in significantly reduced proliferation of Y79-DEK1 cells (p=0.05) and a similar trend was also observed for Y79-DEK4 (p=0.07) (Figure 2). The morphology of cells was not obviously altered by DEK knockdown, but both Y79-DEK1 and Y79-DEK4 were more sensitive to treatment with the differentiating agent ATRA (all-trans-retinoic acid) compared to the control (Y79-NS) possibly reflecting higher expression of RXRG in the knockdown cells (see below). ATRA treatment was observed to result in the production of neurite or cilia-like structures which were longer and more numerous in the knockdown cell lines, reflecting a greater degree of differentiation (Figures 3 &amp; 4).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A key question which we hoped to answer using Y79-DEK1/DEK4 cell lines was whether DEK influences the expression of genes encoding specific retinal transcription factors. Our results suggest that DEK does have a role, either directly or indirectly in the regulation of a number of these genes, especially OTX2, which encodes a </w:t>
      </w:r>
      <w:proofErr w:type="spellStart"/>
      <w:r>
        <w:rPr>
          <w:rFonts w:ascii="Calibri" w:hAnsi="Calibri" w:cs="Calibri"/>
          <w:color w:val="auto"/>
          <w:sz w:val="22"/>
          <w:szCs w:val="22"/>
        </w:rPr>
        <w:t>homeobox</w:t>
      </w:r>
      <w:proofErr w:type="spellEnd"/>
      <w:r>
        <w:rPr>
          <w:rFonts w:ascii="Calibri" w:hAnsi="Calibri" w:cs="Calibri"/>
          <w:color w:val="auto"/>
          <w:sz w:val="22"/>
          <w:szCs w:val="22"/>
        </w:rPr>
        <w:t xml:space="preserve"> protein which is a master regulator of photoreceptor development, CRX, a direct target of OTX2 which regulates the </w:t>
      </w:r>
      <w:proofErr w:type="spellStart"/>
      <w:r>
        <w:rPr>
          <w:rFonts w:ascii="Calibri" w:hAnsi="Calibri" w:cs="Calibri"/>
          <w:color w:val="auto"/>
          <w:sz w:val="22"/>
          <w:szCs w:val="22"/>
        </w:rPr>
        <w:t>expession</w:t>
      </w:r>
      <w:proofErr w:type="spellEnd"/>
      <w:r>
        <w:rPr>
          <w:rFonts w:ascii="Calibri" w:hAnsi="Calibri" w:cs="Calibri"/>
          <w:color w:val="auto"/>
          <w:sz w:val="22"/>
          <w:szCs w:val="22"/>
        </w:rPr>
        <w:t xml:space="preserve"> of many photoreceptor genes, and RXRG which is localized to developing cone photoreceptors</w:t>
      </w:r>
      <w:r>
        <w:rPr>
          <w:rFonts w:ascii="Calibri" w:hAnsi="Calibri" w:cs="Calibri"/>
          <w:color w:val="auto"/>
          <w:sz w:val="13"/>
          <w:szCs w:val="13"/>
        </w:rPr>
        <w:t xml:space="preserve">4 </w:t>
      </w:r>
      <w:r>
        <w:rPr>
          <w:rFonts w:ascii="Calibri" w:hAnsi="Calibri" w:cs="Calibri"/>
          <w:color w:val="auto"/>
          <w:sz w:val="22"/>
          <w:szCs w:val="22"/>
        </w:rPr>
        <w:t xml:space="preserve">(Figure 5). OTX2 showed 2.5 and 1.9-fold lower expression in Y79-DEK1 and Y79-DEK4 respectively relative to the control cell line, Y79-NS. In the case of CRX, 3.5 and 1.6-fold decreases were noted. In contrast, RXRG was up-regulated 2.5 and 3.4-fold (Figure 6). These are significant findings since they support our hypothesis that DEK influences tumorigenesis at least in part by contributing to the regulation of retinal transcription factor expression. The up-regulation of RXRG, but down-regulation of OTX/CRX following DEK silencing is consistent with expression of very early differentiation events in tumour cells, but not of downstream events required for full cone photoreceptor differentiation. </w:t>
      </w:r>
    </w:p>
    <w:p w:rsidR="00DA371A" w:rsidRDefault="00DA371A" w:rsidP="00AE3B90">
      <w:pPr>
        <w:pStyle w:val="Default"/>
        <w:rPr>
          <w:rFonts w:ascii="Calibri" w:hAnsi="Calibri" w:cs="Calibri"/>
          <w:b/>
          <w:bCs/>
          <w:i/>
          <w:iCs/>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i/>
          <w:iCs/>
          <w:color w:val="auto"/>
          <w:sz w:val="22"/>
          <w:szCs w:val="22"/>
        </w:rPr>
        <w:t xml:space="preserve">Effects of DEK on chromatin histone modifications at gene loci encoding retinal transcription factors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We next looked for evidence of epigenetic regulation at RXRG and OTX2 promoters and for involvement of DEK in this regulation, using chromatin immunoprecipitation(CHIP)-qPCR. Investigation of DEK occupancy at the RXRG promoter indicated that binding was low in DEK-expressing Y79-NS cells and was not significantly influenced by DEK knockdown (Figure 7A). A very similar pattern of binding was observed at the </w:t>
      </w:r>
      <w:proofErr w:type="spellStart"/>
      <w:r>
        <w:rPr>
          <w:rFonts w:ascii="Calibri" w:hAnsi="Calibri" w:cs="Calibri"/>
          <w:color w:val="auto"/>
          <w:sz w:val="22"/>
          <w:szCs w:val="22"/>
        </w:rPr>
        <w:t>retinaldehyde</w:t>
      </w:r>
      <w:proofErr w:type="spellEnd"/>
      <w:r>
        <w:rPr>
          <w:rFonts w:ascii="Calibri" w:hAnsi="Calibri" w:cs="Calibri"/>
          <w:color w:val="auto"/>
          <w:sz w:val="22"/>
          <w:szCs w:val="22"/>
        </w:rPr>
        <w:t xml:space="preserve"> binding protein 1 (RLBP1) promoter, a gene which is not expressed in either normal photoreceptor cells or in retinoblastoma, suggesting that DEK does not directly regulate RXRG, although indirect effects through the negative regulatory action of CRX cannot be excluded. </w:t>
      </w:r>
    </w:p>
    <w:p w:rsidR="00DA371A" w:rsidRDefault="00DA371A" w:rsidP="00AE3B90">
      <w:pPr>
        <w:pStyle w:val="Default"/>
        <w:rPr>
          <w:rFonts w:ascii="Calibri" w:hAnsi="Calibri" w:cs="Calibri"/>
          <w:color w:val="auto"/>
          <w:sz w:val="22"/>
          <w:szCs w:val="22"/>
        </w:rPr>
      </w:pPr>
    </w:p>
    <w:p w:rsidR="00DA371A" w:rsidRDefault="00AE3B90" w:rsidP="00DA371A">
      <w:pPr>
        <w:pStyle w:val="Default"/>
        <w:rPr>
          <w:rFonts w:ascii="Calibri" w:hAnsi="Calibri" w:cs="Calibri"/>
          <w:color w:val="auto"/>
          <w:sz w:val="22"/>
          <w:szCs w:val="22"/>
        </w:rPr>
      </w:pPr>
      <w:r>
        <w:rPr>
          <w:rFonts w:ascii="Calibri" w:hAnsi="Calibri" w:cs="Calibri"/>
          <w:color w:val="auto"/>
          <w:sz w:val="22"/>
          <w:szCs w:val="22"/>
        </w:rPr>
        <w:t xml:space="preserve">In the case of OTX2, enrichment of DEK at the gene promoter was 3-fold higher in control cells, compared to RXRG and RLBP1, and this was reduced to baseline levels following DEK knockdown (Figure 7A). This result indicates that DEK is likely to positively regulate, either directly or indirectly, the expression of OTX2. It is of interest that OTX2 has been reported to activate cell cycle genes and to inhibit differentiation in a subset of </w:t>
      </w:r>
      <w:proofErr w:type="spellStart"/>
      <w:r>
        <w:rPr>
          <w:rFonts w:ascii="Calibri" w:hAnsi="Calibri" w:cs="Calibri"/>
          <w:color w:val="auto"/>
          <w:sz w:val="22"/>
          <w:szCs w:val="22"/>
        </w:rPr>
        <w:t>medulloblastomas</w:t>
      </w:r>
      <w:proofErr w:type="spellEnd"/>
      <w:r>
        <w:rPr>
          <w:rFonts w:ascii="Calibri" w:hAnsi="Calibri" w:cs="Calibri"/>
          <w:color w:val="auto"/>
          <w:sz w:val="22"/>
          <w:szCs w:val="22"/>
        </w:rPr>
        <w:t xml:space="preserve"> (which intriguingly also show ectopic expression of photoreceptor genes)</w:t>
      </w:r>
      <w:r>
        <w:rPr>
          <w:rFonts w:ascii="Calibri" w:hAnsi="Calibri" w:cs="Calibri"/>
          <w:color w:val="auto"/>
          <w:sz w:val="13"/>
          <w:szCs w:val="13"/>
        </w:rPr>
        <w:t>5</w:t>
      </w:r>
      <w:r>
        <w:rPr>
          <w:rFonts w:ascii="Calibri" w:hAnsi="Calibri" w:cs="Calibri"/>
          <w:color w:val="auto"/>
          <w:sz w:val="22"/>
          <w:szCs w:val="22"/>
        </w:rPr>
        <w:t xml:space="preserve">. OTX2 may function in a similar manner in retinoblastoma. </w:t>
      </w:r>
    </w:p>
    <w:p w:rsidR="00DA371A" w:rsidRDefault="00DA371A" w:rsidP="00DA371A">
      <w:pPr>
        <w:pStyle w:val="Default"/>
        <w:rPr>
          <w:rFonts w:ascii="Calibri" w:hAnsi="Calibri" w:cs="Calibri"/>
          <w:color w:val="auto"/>
          <w:sz w:val="22"/>
          <w:szCs w:val="22"/>
        </w:rPr>
      </w:pPr>
    </w:p>
    <w:p w:rsidR="00AE3B90" w:rsidRDefault="00AE3B90" w:rsidP="00DA371A">
      <w:pPr>
        <w:pStyle w:val="Default"/>
        <w:rPr>
          <w:rFonts w:ascii="Calibri" w:hAnsi="Calibri" w:cs="Calibri"/>
          <w:color w:val="auto"/>
          <w:sz w:val="22"/>
          <w:szCs w:val="22"/>
        </w:rPr>
      </w:pPr>
      <w:r>
        <w:rPr>
          <w:rFonts w:ascii="Calibri" w:hAnsi="Calibri" w:cs="Calibri"/>
          <w:color w:val="auto"/>
          <w:sz w:val="22"/>
          <w:szCs w:val="22"/>
        </w:rPr>
        <w:t xml:space="preserve">Potential mechanisms by which DEK might influence gene expression include the recruitment of complexes which function to modulate levels of histone acetylation or methylation. Consequently we investigated 4 histone modifications which function either to activate gene expression (histone H3 acetylation, H3Ac; histone H3 lysine 4 </w:t>
      </w:r>
      <w:proofErr w:type="spellStart"/>
      <w:r>
        <w:rPr>
          <w:rFonts w:ascii="Calibri" w:hAnsi="Calibri" w:cs="Calibri"/>
          <w:color w:val="auto"/>
          <w:sz w:val="22"/>
          <w:szCs w:val="22"/>
        </w:rPr>
        <w:t>trimethylation</w:t>
      </w:r>
      <w:proofErr w:type="spellEnd"/>
      <w:r>
        <w:rPr>
          <w:rFonts w:ascii="Calibri" w:hAnsi="Calibri" w:cs="Calibri"/>
          <w:color w:val="auto"/>
          <w:sz w:val="22"/>
          <w:szCs w:val="22"/>
        </w:rPr>
        <w:t xml:space="preserve">, H3K4me3), or to silence gene expression (histone H3 lysine 9 </w:t>
      </w:r>
      <w:proofErr w:type="spellStart"/>
      <w:r>
        <w:rPr>
          <w:rFonts w:ascii="Calibri" w:hAnsi="Calibri" w:cs="Calibri"/>
          <w:color w:val="auto"/>
          <w:sz w:val="22"/>
          <w:szCs w:val="22"/>
        </w:rPr>
        <w:t>trimethylation</w:t>
      </w:r>
      <w:proofErr w:type="spellEnd"/>
      <w:r>
        <w:rPr>
          <w:rFonts w:ascii="Calibri" w:hAnsi="Calibri" w:cs="Calibri"/>
          <w:color w:val="auto"/>
          <w:sz w:val="22"/>
          <w:szCs w:val="22"/>
        </w:rPr>
        <w:t xml:space="preserve">, H3K9me3; histone H3 lysine 27 </w:t>
      </w:r>
      <w:proofErr w:type="spellStart"/>
      <w:r>
        <w:rPr>
          <w:rFonts w:ascii="Calibri" w:hAnsi="Calibri" w:cs="Calibri"/>
          <w:color w:val="auto"/>
          <w:sz w:val="22"/>
          <w:szCs w:val="22"/>
        </w:rPr>
        <w:t>trimethylation</w:t>
      </w:r>
      <w:proofErr w:type="spellEnd"/>
      <w:r>
        <w:rPr>
          <w:rFonts w:ascii="Calibri" w:hAnsi="Calibri" w:cs="Calibri"/>
          <w:color w:val="auto"/>
          <w:sz w:val="22"/>
          <w:szCs w:val="22"/>
        </w:rPr>
        <w:t xml:space="preserve">; H3K27me3).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CHIP-qPCR of H3Ac bound DNA identified approximately 8-fold greater binding to OTX2 compared to RXRG (and &gt;100-fold relative to RLBP1) in Y79-NS cells, which was reduced by 50% and 75% in Y79-DEK4 and Y79-DEK1 respectively (Figure 7B). Since H3Ac is associated with actively transcribed genes, these results are consistent with the observed high expression of OTX2, (but not RXRG) in Y79-NS cells. Similarly, CHIP-qPCR of H3K4me3-bound DNA (also associated with actively transcribed genes) identified almost 5-fold enrichment of OTX2 relative to RXRG, (&gt;600-fold enrichment relative to RLBP1), an effect which again was reduced following DEK knockdown (Figure 7C). Levels of H3K9me3 and H3K27me3, characteristic of silent genes, were very low in control cells and were not affected by DEK knockdown. These observations suggest that DEK may have a role in promoting histone modifications associated with active gene expression. This result is surprising since DEK has previously been reported to function in histone deacetylation, associated with gene silencing</w:t>
      </w:r>
      <w:r>
        <w:rPr>
          <w:rFonts w:ascii="Calibri" w:hAnsi="Calibri" w:cs="Calibri"/>
          <w:color w:val="auto"/>
          <w:sz w:val="13"/>
          <w:szCs w:val="13"/>
        </w:rPr>
        <w:t>6</w:t>
      </w:r>
      <w:r>
        <w:rPr>
          <w:rFonts w:ascii="Calibri" w:hAnsi="Calibri" w:cs="Calibri"/>
          <w:color w:val="auto"/>
          <w:sz w:val="22"/>
          <w:szCs w:val="22"/>
        </w:rPr>
        <w:t>. An alternative explanation is that DEK may bind to negative regulatory elements in order to influence gene expression indirectly. It has been reported for example, that natural anti-sense transcripts are associated with several genes involved in retinal development (e.g.OTX2-AS, CRX-AS)</w:t>
      </w:r>
      <w:r>
        <w:rPr>
          <w:rFonts w:ascii="Calibri" w:hAnsi="Calibri" w:cs="Calibri"/>
          <w:color w:val="auto"/>
          <w:sz w:val="13"/>
          <w:szCs w:val="13"/>
        </w:rPr>
        <w:t>7</w:t>
      </w:r>
      <w:r>
        <w:rPr>
          <w:rFonts w:ascii="Calibri" w:hAnsi="Calibri" w:cs="Calibri"/>
          <w:color w:val="auto"/>
          <w:sz w:val="22"/>
          <w:szCs w:val="22"/>
        </w:rPr>
        <w:t>. Antisense transcripts, including long non-coding transcripts (</w:t>
      </w:r>
      <w:proofErr w:type="spellStart"/>
      <w:r>
        <w:rPr>
          <w:rFonts w:ascii="Calibri" w:hAnsi="Calibri" w:cs="Calibri"/>
          <w:color w:val="auto"/>
          <w:sz w:val="22"/>
          <w:szCs w:val="22"/>
        </w:rPr>
        <w:t>lncRNAs</w:t>
      </w:r>
      <w:proofErr w:type="spellEnd"/>
      <w:r>
        <w:rPr>
          <w:rFonts w:ascii="Calibri" w:hAnsi="Calibri" w:cs="Calibri"/>
          <w:color w:val="auto"/>
          <w:sz w:val="22"/>
          <w:szCs w:val="22"/>
        </w:rPr>
        <w:t>) show striking tissue-specificity in their expression and are emerging as key regulators of diverse cellular processes, through association with chromatin modifying complexes</w:t>
      </w:r>
      <w:r>
        <w:rPr>
          <w:rFonts w:ascii="Calibri" w:hAnsi="Calibri" w:cs="Calibri"/>
          <w:color w:val="auto"/>
          <w:sz w:val="13"/>
          <w:szCs w:val="13"/>
        </w:rPr>
        <w:t>8</w:t>
      </w:r>
      <w:r>
        <w:rPr>
          <w:rFonts w:ascii="Calibri" w:hAnsi="Calibri" w:cs="Calibri"/>
          <w:color w:val="auto"/>
          <w:sz w:val="22"/>
          <w:szCs w:val="22"/>
        </w:rPr>
        <w:t xml:space="preserve">. </w:t>
      </w:r>
    </w:p>
    <w:p w:rsidR="00DA371A" w:rsidRDefault="00DA371A" w:rsidP="00AE3B90">
      <w:pPr>
        <w:pStyle w:val="Default"/>
        <w:rPr>
          <w:rFonts w:ascii="Calibri" w:hAnsi="Calibri" w:cs="Calibri"/>
          <w:b/>
          <w:bCs/>
          <w:i/>
          <w:iCs/>
          <w:color w:val="auto"/>
          <w:sz w:val="22"/>
          <w:szCs w:val="22"/>
        </w:rPr>
      </w:pPr>
    </w:p>
    <w:p w:rsidR="00AE3B90" w:rsidRDefault="00AE3B90" w:rsidP="00AE3B90">
      <w:pPr>
        <w:pStyle w:val="Default"/>
        <w:rPr>
          <w:rFonts w:ascii="Calibri" w:hAnsi="Calibri" w:cs="Calibri"/>
          <w:color w:val="auto"/>
          <w:sz w:val="22"/>
          <w:szCs w:val="22"/>
        </w:rPr>
      </w:pPr>
      <w:proofErr w:type="spellStart"/>
      <w:r>
        <w:rPr>
          <w:rFonts w:ascii="Calibri" w:hAnsi="Calibri" w:cs="Calibri"/>
          <w:b/>
          <w:bCs/>
          <w:i/>
          <w:iCs/>
          <w:color w:val="auto"/>
          <w:sz w:val="22"/>
          <w:szCs w:val="22"/>
        </w:rPr>
        <w:t>Genomewide</w:t>
      </w:r>
      <w:proofErr w:type="spellEnd"/>
      <w:r>
        <w:rPr>
          <w:rFonts w:ascii="Calibri" w:hAnsi="Calibri" w:cs="Calibri"/>
          <w:b/>
          <w:bCs/>
          <w:i/>
          <w:iCs/>
          <w:color w:val="auto"/>
          <w:sz w:val="22"/>
          <w:szCs w:val="22"/>
        </w:rPr>
        <w:t xml:space="preserve"> targets of DEK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In order to obtain further information about possible mechanisms of DEK action, as well as a more complete picture of its targets in both coding and non-coding DNA sequence, we used </w:t>
      </w:r>
      <w:proofErr w:type="spellStart"/>
      <w:r>
        <w:rPr>
          <w:rFonts w:ascii="Calibri" w:hAnsi="Calibri" w:cs="Calibri"/>
          <w:color w:val="auto"/>
          <w:sz w:val="22"/>
          <w:szCs w:val="22"/>
        </w:rPr>
        <w:t>ChIP</w:t>
      </w:r>
      <w:proofErr w:type="spellEnd"/>
      <w:r>
        <w:rPr>
          <w:rFonts w:ascii="Calibri" w:hAnsi="Calibri" w:cs="Calibri"/>
          <w:color w:val="auto"/>
          <w:sz w:val="22"/>
          <w:szCs w:val="22"/>
        </w:rPr>
        <w:t xml:space="preserve">-CHIP to identify genome-wide binding sites in 3 retinoblastoma cell lines, Y79, BCH-RB32 and BCH-RB33. RB33 is one of our highest DEK-expressing retinoblastoma cell lines, with &gt;2-fold increased expression relative to Y79 and RB32 and 17-fold greater than normal retina. DNAs extracted from </w:t>
      </w:r>
      <w:proofErr w:type="spellStart"/>
      <w:r>
        <w:rPr>
          <w:rFonts w:ascii="Calibri" w:hAnsi="Calibri" w:cs="Calibri"/>
          <w:color w:val="auto"/>
          <w:sz w:val="22"/>
          <w:szCs w:val="22"/>
        </w:rPr>
        <w:t>immunoprecipitated</w:t>
      </w:r>
      <w:proofErr w:type="spellEnd"/>
      <w:r>
        <w:rPr>
          <w:rFonts w:ascii="Calibri" w:hAnsi="Calibri" w:cs="Calibri"/>
          <w:color w:val="auto"/>
          <w:sz w:val="22"/>
          <w:szCs w:val="22"/>
        </w:rPr>
        <w:t xml:space="preserve"> DEK-bound chromatin and non-</w:t>
      </w:r>
      <w:proofErr w:type="spellStart"/>
      <w:r>
        <w:rPr>
          <w:rFonts w:ascii="Calibri" w:hAnsi="Calibri" w:cs="Calibri"/>
          <w:color w:val="auto"/>
          <w:sz w:val="22"/>
          <w:szCs w:val="22"/>
        </w:rPr>
        <w:t>immunoprecipitated</w:t>
      </w:r>
      <w:proofErr w:type="spellEnd"/>
      <w:r>
        <w:rPr>
          <w:rFonts w:ascii="Calibri" w:hAnsi="Calibri" w:cs="Calibri"/>
          <w:color w:val="auto"/>
          <w:sz w:val="22"/>
          <w:szCs w:val="22"/>
        </w:rPr>
        <w:t xml:space="preserve"> control input chromatin (in duplicate) were hybridized to Agilent Human Promoter arrays and the Bioconductor software package 'Ringo' was used for data normalization and for detection of </w:t>
      </w:r>
      <w:proofErr w:type="spellStart"/>
      <w:r>
        <w:rPr>
          <w:rFonts w:ascii="Calibri" w:hAnsi="Calibri" w:cs="Calibri"/>
          <w:color w:val="auto"/>
          <w:sz w:val="22"/>
          <w:szCs w:val="22"/>
        </w:rPr>
        <w:t>ChIP</w:t>
      </w:r>
      <w:proofErr w:type="spellEnd"/>
      <w:r>
        <w:rPr>
          <w:rFonts w:ascii="Calibri" w:hAnsi="Calibri" w:cs="Calibri"/>
          <w:color w:val="auto"/>
          <w:sz w:val="22"/>
          <w:szCs w:val="22"/>
        </w:rPr>
        <w:t>-enriched regions</w:t>
      </w:r>
      <w:r>
        <w:rPr>
          <w:rFonts w:ascii="Calibri" w:hAnsi="Calibri" w:cs="Calibri"/>
          <w:color w:val="auto"/>
          <w:sz w:val="13"/>
          <w:szCs w:val="13"/>
        </w:rPr>
        <w:t>9</w:t>
      </w:r>
      <w:r>
        <w:rPr>
          <w:rFonts w:ascii="Calibri" w:hAnsi="Calibri" w:cs="Calibri"/>
          <w:color w:val="auto"/>
          <w:sz w:val="22"/>
          <w:szCs w:val="22"/>
        </w:rPr>
        <w:t xml:space="preserve">. Data analysis is on-going but preliminary results show that 82% of approximately 14,000 </w:t>
      </w:r>
      <w:proofErr w:type="spellStart"/>
      <w:r>
        <w:rPr>
          <w:rFonts w:ascii="Calibri" w:hAnsi="Calibri" w:cs="Calibri"/>
          <w:color w:val="auto"/>
          <w:sz w:val="22"/>
          <w:szCs w:val="22"/>
        </w:rPr>
        <w:t>ChIP</w:t>
      </w:r>
      <w:proofErr w:type="spellEnd"/>
      <w:r>
        <w:rPr>
          <w:rFonts w:ascii="Calibri" w:hAnsi="Calibri" w:cs="Calibri"/>
          <w:color w:val="auto"/>
          <w:sz w:val="22"/>
          <w:szCs w:val="22"/>
        </w:rPr>
        <w:t>-enriched regions (</w:t>
      </w:r>
      <w:proofErr w:type="spellStart"/>
      <w:r>
        <w:rPr>
          <w:rFonts w:ascii="Calibri" w:hAnsi="Calibri" w:cs="Calibri"/>
          <w:color w:val="auto"/>
          <w:sz w:val="22"/>
          <w:szCs w:val="22"/>
        </w:rPr>
        <w:t>ChERs</w:t>
      </w:r>
      <w:proofErr w:type="spellEnd"/>
      <w:r>
        <w:rPr>
          <w:rFonts w:ascii="Calibri" w:hAnsi="Calibri" w:cs="Calibri"/>
          <w:color w:val="auto"/>
          <w:sz w:val="22"/>
          <w:szCs w:val="22"/>
        </w:rPr>
        <w:t>) detected across all 3 cell lines were associated with annotated genes from the GRCh37/hg19 genome assembly. The greatest number of DEK-</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was identified for RB33, approximately 5-fold greater than RB32 and 19-fold greater than Y79. There was significant overlap in the </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identified in the 3 cell lines with &gt;95% of the </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identified in RB32 and in Y79, also present in RB33. Approximately 50% of </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were located in </w:t>
      </w:r>
      <w:proofErr w:type="spellStart"/>
      <w:r>
        <w:rPr>
          <w:rFonts w:ascii="Calibri" w:hAnsi="Calibri" w:cs="Calibri"/>
          <w:color w:val="auto"/>
          <w:sz w:val="22"/>
          <w:szCs w:val="22"/>
        </w:rPr>
        <w:t>intronic</w:t>
      </w:r>
      <w:proofErr w:type="spellEnd"/>
      <w:r>
        <w:rPr>
          <w:rFonts w:ascii="Calibri" w:hAnsi="Calibri" w:cs="Calibri"/>
          <w:color w:val="auto"/>
          <w:sz w:val="22"/>
          <w:szCs w:val="22"/>
        </w:rPr>
        <w:t xml:space="preserve"> sequence and 33% were located upstream of transcriptional start sites (TSS).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color w:val="auto"/>
        </w:rPr>
      </w:pPr>
      <w:r>
        <w:rPr>
          <w:rFonts w:ascii="Calibri" w:hAnsi="Calibri" w:cs="Calibri"/>
          <w:color w:val="auto"/>
          <w:sz w:val="22"/>
          <w:szCs w:val="22"/>
        </w:rPr>
        <w:t>It is of interest than several of the most highly scoring DEK-</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co-localized with non-coding inter- or intragenic transcripts which may have regulatory functions. Once such LINC (large intergenic non-coding) RNA, LINC00176, identified on chromosome 20q13, maps immediately upstream of PRPF6, encoding a pre-mRNA processing factor important for retinal photoreceptor function and implicated in retinitis </w:t>
      </w:r>
      <w:proofErr w:type="spellStart"/>
      <w:r>
        <w:rPr>
          <w:rFonts w:ascii="Calibri" w:hAnsi="Calibri" w:cs="Calibri"/>
          <w:color w:val="auto"/>
          <w:sz w:val="22"/>
          <w:szCs w:val="22"/>
        </w:rPr>
        <w:t>pigmentosa</w:t>
      </w:r>
      <w:proofErr w:type="spellEnd"/>
      <w:r>
        <w:rPr>
          <w:rFonts w:ascii="Calibri" w:hAnsi="Calibri" w:cs="Calibri"/>
          <w:color w:val="auto"/>
          <w:sz w:val="22"/>
          <w:szCs w:val="22"/>
        </w:rPr>
        <w:t xml:space="preserve"> (Figure 8a). PRPF6 is down-regulated in retinoblastoma relative to normal retina</w:t>
      </w:r>
      <w:r>
        <w:rPr>
          <w:rFonts w:ascii="Calibri" w:hAnsi="Calibri" w:cs="Calibri"/>
          <w:color w:val="auto"/>
          <w:sz w:val="13"/>
          <w:szCs w:val="13"/>
        </w:rPr>
        <w:t xml:space="preserve">1 </w:t>
      </w:r>
      <w:r>
        <w:rPr>
          <w:rFonts w:ascii="Calibri" w:hAnsi="Calibri" w:cs="Calibri"/>
          <w:color w:val="auto"/>
          <w:sz w:val="22"/>
          <w:szCs w:val="22"/>
        </w:rPr>
        <w:t xml:space="preserve">potentially as a consequence of DEK-LINC interaction. </w:t>
      </w:r>
    </w:p>
    <w:p w:rsidR="00AE3B90" w:rsidRDefault="00AE3B90" w:rsidP="00AE3B90">
      <w:pPr>
        <w:pStyle w:val="Default"/>
        <w:pageBreakBefore/>
        <w:rPr>
          <w:rFonts w:ascii="Calibri" w:hAnsi="Calibri" w:cs="Calibri"/>
          <w:color w:val="auto"/>
          <w:sz w:val="22"/>
          <w:szCs w:val="22"/>
        </w:rPr>
      </w:pPr>
      <w:r>
        <w:rPr>
          <w:rFonts w:ascii="Calibri" w:hAnsi="Calibri" w:cs="Calibri"/>
          <w:color w:val="auto"/>
          <w:sz w:val="22"/>
          <w:szCs w:val="22"/>
        </w:rPr>
        <w:t>The identification of a DEK-</w:t>
      </w:r>
      <w:proofErr w:type="spellStart"/>
      <w:r>
        <w:rPr>
          <w:rFonts w:ascii="Calibri" w:hAnsi="Calibri" w:cs="Calibri"/>
          <w:color w:val="auto"/>
          <w:sz w:val="22"/>
          <w:szCs w:val="22"/>
        </w:rPr>
        <w:t>ChER</w:t>
      </w:r>
      <w:proofErr w:type="spellEnd"/>
      <w:r>
        <w:rPr>
          <w:rFonts w:ascii="Calibri" w:hAnsi="Calibri" w:cs="Calibri"/>
          <w:color w:val="auto"/>
          <w:sz w:val="22"/>
          <w:szCs w:val="22"/>
        </w:rPr>
        <w:t xml:space="preserve"> overlapping the 3'UTR of the E2F1 gene may also be significant (Figure 8b). We have shown that E2F1 is upregulated 2-3-fold in retinoblastoma relative to normal retina, most probably as a consequence of RB1 loss. However masking of regulatory elements (e.g. miRNA binding sites) within the E2F1 3'UTR by DEK is a potential mechanism to block feedback loops which have been demonstrated to repress E2F1 expression</w:t>
      </w:r>
      <w:r>
        <w:rPr>
          <w:rFonts w:ascii="Cambria" w:hAnsi="Cambria" w:cs="Cambria"/>
          <w:color w:val="auto"/>
          <w:sz w:val="16"/>
          <w:szCs w:val="16"/>
        </w:rPr>
        <w:t>10</w:t>
      </w:r>
      <w:r>
        <w:rPr>
          <w:rFonts w:ascii="Calibri" w:hAnsi="Calibri" w:cs="Calibri"/>
          <w:color w:val="auto"/>
          <w:sz w:val="22"/>
          <w:szCs w:val="22"/>
        </w:rPr>
        <w:t xml:space="preserve">.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An area of particular interest which was highlighted by this work is a potential role for DEK in influencing normal thyroid hormone </w:t>
      </w:r>
      <w:proofErr w:type="spellStart"/>
      <w:r>
        <w:rPr>
          <w:rFonts w:ascii="Calibri" w:hAnsi="Calibri" w:cs="Calibri"/>
          <w:color w:val="auto"/>
          <w:sz w:val="22"/>
          <w:szCs w:val="22"/>
        </w:rPr>
        <w:t>signaling</w:t>
      </w:r>
      <w:proofErr w:type="spellEnd"/>
      <w:r>
        <w:rPr>
          <w:rFonts w:ascii="Calibri" w:hAnsi="Calibri" w:cs="Calibri"/>
          <w:color w:val="auto"/>
          <w:sz w:val="22"/>
          <w:szCs w:val="22"/>
        </w:rPr>
        <w:t xml:space="preserve">. In the retina, thyroid hormone </w:t>
      </w:r>
      <w:proofErr w:type="spellStart"/>
      <w:r>
        <w:rPr>
          <w:rFonts w:ascii="Calibri" w:hAnsi="Calibri" w:cs="Calibri"/>
          <w:color w:val="auto"/>
          <w:sz w:val="22"/>
          <w:szCs w:val="22"/>
        </w:rPr>
        <w:t>signaling</w:t>
      </w:r>
      <w:proofErr w:type="spellEnd"/>
      <w:r>
        <w:rPr>
          <w:rFonts w:ascii="Calibri" w:hAnsi="Calibri" w:cs="Calibri"/>
          <w:color w:val="auto"/>
          <w:sz w:val="22"/>
          <w:szCs w:val="22"/>
        </w:rPr>
        <w:t xml:space="preserve"> through the heterodimeric thyroid hormone beta/retinoic X receptor gamma (THRB/RXRG) receptor is essential for normal cone photoreceptor development. In the presence of thyroid hormone, THRB/RXRG functions as a transcriptional activator. In contrast, in the absence of hormone, recruitment of HDAC-containing NCOR and NCOR2/SMRT (</w:t>
      </w:r>
      <w:r>
        <w:rPr>
          <w:rFonts w:ascii="Calibri" w:hAnsi="Calibri" w:cs="Calibri"/>
          <w:b/>
          <w:bCs/>
          <w:color w:val="auto"/>
          <w:sz w:val="22"/>
          <w:szCs w:val="22"/>
        </w:rPr>
        <w:t>s</w:t>
      </w:r>
      <w:r>
        <w:rPr>
          <w:rFonts w:ascii="Calibri" w:hAnsi="Calibri" w:cs="Calibri"/>
          <w:color w:val="auto"/>
          <w:sz w:val="22"/>
          <w:szCs w:val="22"/>
        </w:rPr>
        <w:t xml:space="preserve">ilencing </w:t>
      </w:r>
      <w:r>
        <w:rPr>
          <w:rFonts w:ascii="Calibri" w:hAnsi="Calibri" w:cs="Calibri"/>
          <w:b/>
          <w:bCs/>
          <w:color w:val="auto"/>
          <w:sz w:val="22"/>
          <w:szCs w:val="22"/>
        </w:rPr>
        <w:t>m</w:t>
      </w:r>
      <w:r>
        <w:rPr>
          <w:rFonts w:ascii="Calibri" w:hAnsi="Calibri" w:cs="Calibri"/>
          <w:color w:val="auto"/>
          <w:sz w:val="22"/>
          <w:szCs w:val="22"/>
        </w:rPr>
        <w:t xml:space="preserve">ediator for </w:t>
      </w:r>
      <w:r>
        <w:rPr>
          <w:rFonts w:ascii="Calibri" w:hAnsi="Calibri" w:cs="Calibri"/>
          <w:b/>
          <w:bCs/>
          <w:color w:val="auto"/>
          <w:sz w:val="22"/>
          <w:szCs w:val="22"/>
        </w:rPr>
        <w:t>r</w:t>
      </w:r>
      <w:r>
        <w:rPr>
          <w:rFonts w:ascii="Calibri" w:hAnsi="Calibri" w:cs="Calibri"/>
          <w:color w:val="auto"/>
          <w:sz w:val="22"/>
          <w:szCs w:val="22"/>
        </w:rPr>
        <w:t xml:space="preserve">etinoid and </w:t>
      </w:r>
      <w:r>
        <w:rPr>
          <w:rFonts w:ascii="Calibri" w:hAnsi="Calibri" w:cs="Calibri"/>
          <w:b/>
          <w:bCs/>
          <w:color w:val="auto"/>
          <w:sz w:val="22"/>
          <w:szCs w:val="22"/>
        </w:rPr>
        <w:t>t</w:t>
      </w:r>
      <w:r>
        <w:rPr>
          <w:rFonts w:ascii="Calibri" w:hAnsi="Calibri" w:cs="Calibri"/>
          <w:color w:val="auto"/>
          <w:sz w:val="22"/>
          <w:szCs w:val="22"/>
        </w:rPr>
        <w:t xml:space="preserve">hyroid hormone receptors) co-repressor complexes results in inhibition of transcription of target genes. An important factor in this </w:t>
      </w:r>
      <w:proofErr w:type="spellStart"/>
      <w:r>
        <w:rPr>
          <w:rFonts w:ascii="Calibri" w:hAnsi="Calibri" w:cs="Calibri"/>
          <w:color w:val="auto"/>
          <w:sz w:val="22"/>
          <w:szCs w:val="22"/>
        </w:rPr>
        <w:t>signaling</w:t>
      </w:r>
      <w:proofErr w:type="spellEnd"/>
      <w:r>
        <w:rPr>
          <w:rFonts w:ascii="Calibri" w:hAnsi="Calibri" w:cs="Calibri"/>
          <w:color w:val="auto"/>
          <w:sz w:val="22"/>
          <w:szCs w:val="22"/>
        </w:rPr>
        <w:t xml:space="preserve"> pathway is the availability of thyroid hormone and this is tightly regulated by enzymes responsible for hormone activation (DIO2) and inactivation (DIO3)</w:t>
      </w:r>
      <w:r>
        <w:rPr>
          <w:rFonts w:ascii="Calibri" w:hAnsi="Calibri" w:cs="Calibri"/>
          <w:color w:val="auto"/>
          <w:sz w:val="13"/>
          <w:szCs w:val="13"/>
        </w:rPr>
        <w:t>11</w:t>
      </w:r>
      <w:r>
        <w:rPr>
          <w:rFonts w:ascii="Calibri" w:hAnsi="Calibri" w:cs="Calibri"/>
          <w:color w:val="auto"/>
          <w:sz w:val="22"/>
          <w:szCs w:val="22"/>
        </w:rPr>
        <w:t xml:space="preserve">.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In retinoblastoma, THRB and RXRG are significantly up-regulated, particularly in group 2 (cone-like) tumours</w:t>
      </w:r>
      <w:r>
        <w:rPr>
          <w:rFonts w:ascii="Calibri" w:hAnsi="Calibri" w:cs="Calibri"/>
          <w:color w:val="auto"/>
          <w:sz w:val="13"/>
          <w:szCs w:val="13"/>
        </w:rPr>
        <w:t>1</w:t>
      </w:r>
      <w:r>
        <w:rPr>
          <w:rFonts w:ascii="Calibri" w:hAnsi="Calibri" w:cs="Calibri"/>
          <w:color w:val="auto"/>
          <w:sz w:val="22"/>
          <w:szCs w:val="22"/>
        </w:rPr>
        <w:t xml:space="preserve">, implicating aberrant activity of this </w:t>
      </w:r>
      <w:proofErr w:type="spellStart"/>
      <w:r>
        <w:rPr>
          <w:rFonts w:ascii="Calibri" w:hAnsi="Calibri" w:cs="Calibri"/>
          <w:color w:val="auto"/>
          <w:sz w:val="22"/>
          <w:szCs w:val="22"/>
        </w:rPr>
        <w:t>signaling</w:t>
      </w:r>
      <w:proofErr w:type="spellEnd"/>
      <w:r>
        <w:rPr>
          <w:rFonts w:ascii="Calibri" w:hAnsi="Calibri" w:cs="Calibri"/>
          <w:color w:val="auto"/>
          <w:sz w:val="22"/>
          <w:szCs w:val="22"/>
        </w:rPr>
        <w:t xml:space="preserve"> pathway in tumorigenesis. Our </w:t>
      </w:r>
      <w:proofErr w:type="spellStart"/>
      <w:r>
        <w:rPr>
          <w:rFonts w:ascii="Calibri" w:hAnsi="Calibri" w:cs="Calibri"/>
          <w:color w:val="auto"/>
          <w:sz w:val="22"/>
          <w:szCs w:val="22"/>
        </w:rPr>
        <w:t>ChIP</w:t>
      </w:r>
      <w:proofErr w:type="spellEnd"/>
      <w:r>
        <w:rPr>
          <w:rFonts w:ascii="Calibri" w:hAnsi="Calibri" w:cs="Calibri"/>
          <w:color w:val="auto"/>
          <w:sz w:val="22"/>
          <w:szCs w:val="22"/>
        </w:rPr>
        <w:t xml:space="preserve"> results demonstrate the complexity of regulatory mechanisms, with binding of DEK at DIO3, at the adjacent non-coding transcript DIO3OS and also at NCOR2 (Figure 8c, d). Our RB tumour expression data suggest that DIO3 is generally expressed at very low levels in retinoblastoma, but NCOR2 is up-regulated in approximately 30% of group 1 retinoblastomas. It is of interest that NCOR2 DEK-</w:t>
      </w:r>
      <w:proofErr w:type="spellStart"/>
      <w:r>
        <w:rPr>
          <w:rFonts w:ascii="Calibri" w:hAnsi="Calibri" w:cs="Calibri"/>
          <w:color w:val="auto"/>
          <w:sz w:val="22"/>
          <w:szCs w:val="22"/>
        </w:rPr>
        <w:t>ChERs</w:t>
      </w:r>
      <w:proofErr w:type="spellEnd"/>
      <w:r>
        <w:rPr>
          <w:rFonts w:ascii="Calibri" w:hAnsi="Calibri" w:cs="Calibri"/>
          <w:color w:val="auto"/>
          <w:sz w:val="22"/>
          <w:szCs w:val="22"/>
        </w:rPr>
        <w:t xml:space="preserve"> are located in the proximal portion of the gene, and may function to influence choice of transcriptional start site rather than mediating suppression of transcription. Further functional studies are required however to determine the precise mechanisms involved in the regulation of thyroid hormone receptor activity in retinoblastoma. It will also be important to determine if the transcriptional co-repressor BCOR, (which is mutated in approximately 13% of retinoblastomas, and which has been shown to form complexes with NCOR2</w:t>
      </w:r>
      <w:r>
        <w:rPr>
          <w:rFonts w:ascii="Calibri" w:hAnsi="Calibri" w:cs="Calibri"/>
          <w:color w:val="auto"/>
          <w:sz w:val="13"/>
          <w:szCs w:val="13"/>
        </w:rPr>
        <w:t>12, 13</w:t>
      </w:r>
      <w:r>
        <w:rPr>
          <w:rFonts w:ascii="Calibri" w:hAnsi="Calibri" w:cs="Calibri"/>
          <w:color w:val="auto"/>
          <w:sz w:val="22"/>
          <w:szCs w:val="22"/>
        </w:rPr>
        <w:t xml:space="preserve">), contributes to pathway regulation. </w:t>
      </w:r>
    </w:p>
    <w:p w:rsidR="00DA371A" w:rsidRDefault="00DA371A" w:rsidP="00AE3B90">
      <w:pPr>
        <w:pStyle w:val="Default"/>
        <w:rPr>
          <w:rFonts w:ascii="Calibri" w:hAnsi="Calibri" w:cs="Calibri"/>
          <w:b/>
          <w:bCs/>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color w:val="auto"/>
          <w:sz w:val="22"/>
          <w:szCs w:val="22"/>
        </w:rPr>
        <w:t xml:space="preserve">CONCLUSIONS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DEK has been highlighted in numerous studies as a key gene contributing to retinoblastoma tumorigenesis. However there is little published information about the mechanisms involved, either in retinoblastoma or in several other tumour types in which DEK has also been implicated. The investigations carried out during this short project have for the first time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provided completely new data which highlight mechanisms by which DEK may impact on transcriptional regulation and (ii) identified DEK target genes with particular significance for retinoblastoma.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We have shown for example, through shRNA-mediated downregulation of DEK in the Y79 cell line, that DEK is intricately linked to the regulation of retinal transcription factors. However the genome-wide investigation of DEK targets, using a </w:t>
      </w:r>
      <w:proofErr w:type="spellStart"/>
      <w:r>
        <w:rPr>
          <w:rFonts w:ascii="Calibri" w:hAnsi="Calibri" w:cs="Calibri"/>
          <w:color w:val="auto"/>
          <w:sz w:val="22"/>
          <w:szCs w:val="22"/>
        </w:rPr>
        <w:t>ChIP</w:t>
      </w:r>
      <w:proofErr w:type="spellEnd"/>
      <w:r>
        <w:rPr>
          <w:rFonts w:ascii="Calibri" w:hAnsi="Calibri" w:cs="Calibri"/>
          <w:color w:val="auto"/>
          <w:sz w:val="22"/>
          <w:szCs w:val="22"/>
        </w:rPr>
        <w:t xml:space="preserve">-CHIP approach, emphasizes the complexity of regulatory mechanisms. In the majority of cases DEK appears to exert transcriptional control not at gene promoters, but within </w:t>
      </w:r>
      <w:proofErr w:type="spellStart"/>
      <w:r>
        <w:rPr>
          <w:rFonts w:ascii="Calibri" w:hAnsi="Calibri" w:cs="Calibri"/>
          <w:color w:val="auto"/>
          <w:sz w:val="22"/>
          <w:szCs w:val="22"/>
        </w:rPr>
        <w:t>intronic</w:t>
      </w:r>
      <w:proofErr w:type="spellEnd"/>
      <w:r>
        <w:rPr>
          <w:rFonts w:ascii="Calibri" w:hAnsi="Calibri" w:cs="Calibri"/>
          <w:color w:val="auto"/>
          <w:sz w:val="22"/>
          <w:szCs w:val="22"/>
        </w:rPr>
        <w:t xml:space="preserve"> sequence in the target gene, in overlapping antisense transcripts or at up- or down-stream non-coding transcripts. Long non-coding RNAs are increasingly being implicated in disease </w:t>
      </w:r>
      <w:proofErr w:type="spellStart"/>
      <w:r>
        <w:rPr>
          <w:rFonts w:ascii="Calibri" w:hAnsi="Calibri" w:cs="Calibri"/>
          <w:color w:val="auto"/>
          <w:sz w:val="22"/>
          <w:szCs w:val="22"/>
        </w:rPr>
        <w:t>etiology</w:t>
      </w:r>
      <w:proofErr w:type="spellEnd"/>
      <w:r>
        <w:rPr>
          <w:rFonts w:ascii="Calibri" w:hAnsi="Calibri" w:cs="Calibri"/>
          <w:color w:val="auto"/>
          <w:sz w:val="22"/>
          <w:szCs w:val="22"/>
        </w:rPr>
        <w:t xml:space="preserve">, but this is the first time a potential role in retinoblastoma has been indicated. </w:t>
      </w:r>
    </w:p>
    <w:p w:rsidR="00DA371A" w:rsidRDefault="00DA371A" w:rsidP="00AE3B90">
      <w:pPr>
        <w:pStyle w:val="Default"/>
        <w:rPr>
          <w:rFonts w:ascii="Calibri" w:hAnsi="Calibri" w:cs="Calibri"/>
          <w:color w:val="auto"/>
          <w:sz w:val="22"/>
          <w:szCs w:val="22"/>
        </w:rPr>
      </w:pPr>
    </w:p>
    <w:p w:rsidR="00AE3B90" w:rsidRDefault="00AE3B90" w:rsidP="00DA371A">
      <w:pPr>
        <w:pStyle w:val="Default"/>
        <w:rPr>
          <w:rFonts w:ascii="Calibri" w:hAnsi="Calibri" w:cs="Calibri"/>
          <w:color w:val="auto"/>
          <w:sz w:val="22"/>
          <w:szCs w:val="22"/>
        </w:rPr>
      </w:pPr>
      <w:r>
        <w:rPr>
          <w:rFonts w:ascii="Calibri" w:hAnsi="Calibri" w:cs="Calibri"/>
          <w:color w:val="auto"/>
          <w:sz w:val="22"/>
          <w:szCs w:val="22"/>
        </w:rPr>
        <w:t>Our results highlight the importance of thyroid hormone signa</w:t>
      </w:r>
      <w:r w:rsidR="00DA371A">
        <w:rPr>
          <w:rFonts w:ascii="Calibri" w:hAnsi="Calibri" w:cs="Calibri"/>
          <w:color w:val="auto"/>
          <w:sz w:val="22"/>
          <w:szCs w:val="22"/>
        </w:rPr>
        <w:t>l</w:t>
      </w:r>
      <w:r>
        <w:rPr>
          <w:rFonts w:ascii="Calibri" w:hAnsi="Calibri" w:cs="Calibri"/>
          <w:color w:val="auto"/>
          <w:sz w:val="22"/>
          <w:szCs w:val="22"/>
        </w:rPr>
        <w:t xml:space="preserve">ling in retinoblastoma, and further investigation of the interaction between DEK and OTX2, THRB/RXR receptors and relevant co-activators/co-repressors such as NCOR2 and BCOR, will be critical for the development of targeted therapy for retinoblastomas with elevated DEK expression. </w:t>
      </w:r>
    </w:p>
    <w:p w:rsidR="00DA371A" w:rsidRDefault="00DA371A" w:rsidP="00AE3B90">
      <w:pPr>
        <w:pStyle w:val="Default"/>
        <w:rPr>
          <w:rFonts w:ascii="Calibri" w:hAnsi="Calibri" w:cs="Calibri"/>
          <w:b/>
          <w:bCs/>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b/>
          <w:bCs/>
          <w:color w:val="auto"/>
          <w:sz w:val="22"/>
          <w:szCs w:val="22"/>
        </w:rPr>
        <w:t xml:space="preserve">REFERENCES </w:t>
      </w:r>
    </w:p>
    <w:p w:rsidR="00DA371A" w:rsidRDefault="00DA371A" w:rsidP="00AE3B90">
      <w:pPr>
        <w:pStyle w:val="Default"/>
        <w:rPr>
          <w:rFonts w:ascii="Calibri" w:hAnsi="Calibri" w:cs="Calibri"/>
          <w:color w:val="auto"/>
          <w:sz w:val="22"/>
          <w:szCs w:val="22"/>
        </w:rPr>
      </w:pP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1. </w:t>
      </w:r>
      <w:proofErr w:type="spellStart"/>
      <w:r>
        <w:rPr>
          <w:rFonts w:ascii="Calibri" w:hAnsi="Calibri" w:cs="Calibri"/>
          <w:color w:val="auto"/>
          <w:sz w:val="22"/>
          <w:szCs w:val="22"/>
        </w:rPr>
        <w:t>Kapatai</w:t>
      </w:r>
      <w:proofErr w:type="spellEnd"/>
      <w:r>
        <w:rPr>
          <w:rFonts w:ascii="Calibri" w:hAnsi="Calibri" w:cs="Calibri"/>
          <w:color w:val="auto"/>
          <w:sz w:val="22"/>
          <w:szCs w:val="22"/>
        </w:rPr>
        <w:t xml:space="preserve"> G, </w:t>
      </w:r>
      <w:proofErr w:type="spellStart"/>
      <w:r>
        <w:rPr>
          <w:rFonts w:ascii="Calibri" w:hAnsi="Calibri" w:cs="Calibri"/>
          <w:color w:val="auto"/>
          <w:sz w:val="22"/>
          <w:szCs w:val="22"/>
        </w:rPr>
        <w:t>Brundler</w:t>
      </w:r>
      <w:proofErr w:type="spellEnd"/>
      <w:r>
        <w:rPr>
          <w:rFonts w:ascii="Calibri" w:hAnsi="Calibri" w:cs="Calibri"/>
          <w:color w:val="auto"/>
          <w:sz w:val="22"/>
          <w:szCs w:val="22"/>
        </w:rPr>
        <w:t xml:space="preserve"> MA, Jenkinson H, Kearns P, </w:t>
      </w:r>
      <w:proofErr w:type="spellStart"/>
      <w:r>
        <w:rPr>
          <w:rFonts w:ascii="Calibri" w:hAnsi="Calibri" w:cs="Calibri"/>
          <w:color w:val="auto"/>
          <w:sz w:val="22"/>
          <w:szCs w:val="22"/>
        </w:rPr>
        <w:t>Parulekar</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Peet</w:t>
      </w:r>
      <w:proofErr w:type="spellEnd"/>
      <w:r>
        <w:rPr>
          <w:rFonts w:ascii="Calibri" w:hAnsi="Calibri" w:cs="Calibri"/>
          <w:color w:val="auto"/>
          <w:sz w:val="22"/>
          <w:szCs w:val="22"/>
        </w:rPr>
        <w:t xml:space="preserve"> AC, </w:t>
      </w:r>
      <w:proofErr w:type="spellStart"/>
      <w:r>
        <w:rPr>
          <w:rFonts w:ascii="Calibri" w:hAnsi="Calibri" w:cs="Calibri"/>
          <w:color w:val="auto"/>
          <w:sz w:val="22"/>
          <w:szCs w:val="22"/>
        </w:rPr>
        <w:t>McConville</w:t>
      </w:r>
      <w:proofErr w:type="spellEnd"/>
      <w:r>
        <w:rPr>
          <w:rFonts w:ascii="Calibri" w:hAnsi="Calibri" w:cs="Calibri"/>
          <w:color w:val="auto"/>
          <w:sz w:val="22"/>
          <w:szCs w:val="22"/>
        </w:rPr>
        <w:t xml:space="preserve"> C. Gene expression profiling identifies different sub-types of retinoblastoma</w:t>
      </w:r>
      <w:r>
        <w:rPr>
          <w:rFonts w:ascii="Calibri" w:hAnsi="Calibri" w:cs="Calibri"/>
          <w:i/>
          <w:iCs/>
          <w:color w:val="auto"/>
          <w:sz w:val="22"/>
          <w:szCs w:val="22"/>
        </w:rPr>
        <w:t xml:space="preserve">. </w:t>
      </w:r>
      <w:r>
        <w:rPr>
          <w:rFonts w:ascii="Calibri" w:hAnsi="Calibri" w:cs="Calibri"/>
          <w:color w:val="auto"/>
          <w:sz w:val="22"/>
          <w:szCs w:val="22"/>
        </w:rPr>
        <w:t xml:space="preserve">Br J Cancer, 2013. 109: 512-525.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2. </w:t>
      </w:r>
      <w:proofErr w:type="spellStart"/>
      <w:r>
        <w:rPr>
          <w:rFonts w:ascii="Calibri" w:hAnsi="Calibri" w:cs="Calibri"/>
          <w:color w:val="auto"/>
          <w:sz w:val="22"/>
          <w:szCs w:val="22"/>
        </w:rPr>
        <w:t>Riveiro-Falkenbach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E,Soengas</w:t>
      </w:r>
      <w:proofErr w:type="spellEnd"/>
      <w:r>
        <w:rPr>
          <w:rFonts w:ascii="Calibri" w:hAnsi="Calibri" w:cs="Calibri"/>
          <w:color w:val="auto"/>
          <w:sz w:val="22"/>
          <w:szCs w:val="22"/>
        </w:rPr>
        <w:t xml:space="preserve"> MS. Control of tumorigenesis and </w:t>
      </w:r>
      <w:proofErr w:type="spellStart"/>
      <w:r>
        <w:rPr>
          <w:rFonts w:ascii="Calibri" w:hAnsi="Calibri" w:cs="Calibri"/>
          <w:color w:val="auto"/>
          <w:sz w:val="22"/>
          <w:szCs w:val="22"/>
        </w:rPr>
        <w:t>chemoresistance</w:t>
      </w:r>
      <w:proofErr w:type="spellEnd"/>
      <w:r>
        <w:rPr>
          <w:rFonts w:ascii="Calibri" w:hAnsi="Calibri" w:cs="Calibri"/>
          <w:color w:val="auto"/>
          <w:sz w:val="22"/>
          <w:szCs w:val="22"/>
        </w:rPr>
        <w:t xml:space="preserve"> by the DEK oncogene</w:t>
      </w:r>
      <w:r>
        <w:rPr>
          <w:rFonts w:ascii="Calibri" w:hAnsi="Calibri" w:cs="Calibri"/>
          <w:i/>
          <w:iCs/>
          <w:color w:val="auto"/>
          <w:sz w:val="22"/>
          <w:szCs w:val="22"/>
        </w:rPr>
        <w:t xml:space="preserve">. </w:t>
      </w:r>
      <w:proofErr w:type="spellStart"/>
      <w:r>
        <w:rPr>
          <w:rFonts w:ascii="Calibri" w:hAnsi="Calibri" w:cs="Calibri"/>
          <w:color w:val="auto"/>
          <w:sz w:val="22"/>
          <w:szCs w:val="22"/>
        </w:rPr>
        <w:t>Clin</w:t>
      </w:r>
      <w:proofErr w:type="spellEnd"/>
      <w:r>
        <w:rPr>
          <w:rFonts w:ascii="Calibri" w:hAnsi="Calibri" w:cs="Calibri"/>
          <w:color w:val="auto"/>
          <w:sz w:val="22"/>
          <w:szCs w:val="22"/>
        </w:rPr>
        <w:t xml:space="preserve"> Cancer Res, 2010. 16: 2932-8.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3. </w:t>
      </w:r>
      <w:proofErr w:type="spellStart"/>
      <w:r>
        <w:rPr>
          <w:rFonts w:ascii="Calibri" w:hAnsi="Calibri" w:cs="Calibri"/>
          <w:color w:val="auto"/>
          <w:sz w:val="22"/>
          <w:szCs w:val="22"/>
        </w:rPr>
        <w:t>Kappes</w:t>
      </w:r>
      <w:proofErr w:type="spellEnd"/>
      <w:r>
        <w:rPr>
          <w:rFonts w:ascii="Calibri" w:hAnsi="Calibri" w:cs="Calibri"/>
          <w:color w:val="auto"/>
          <w:sz w:val="22"/>
          <w:szCs w:val="22"/>
        </w:rPr>
        <w:t xml:space="preserve"> F, </w:t>
      </w:r>
      <w:proofErr w:type="spellStart"/>
      <w:r>
        <w:rPr>
          <w:rFonts w:ascii="Calibri" w:hAnsi="Calibri" w:cs="Calibri"/>
          <w:color w:val="auto"/>
          <w:sz w:val="22"/>
          <w:szCs w:val="22"/>
        </w:rPr>
        <w:t>Waldmann</w:t>
      </w:r>
      <w:proofErr w:type="spellEnd"/>
      <w:r>
        <w:rPr>
          <w:rFonts w:ascii="Calibri" w:hAnsi="Calibri" w:cs="Calibri"/>
          <w:color w:val="auto"/>
          <w:sz w:val="22"/>
          <w:szCs w:val="22"/>
        </w:rPr>
        <w:t xml:space="preserve"> T, Mathew V, Yu J, Zhang L, </w:t>
      </w:r>
      <w:proofErr w:type="spellStart"/>
      <w:r>
        <w:rPr>
          <w:rFonts w:ascii="Calibri" w:hAnsi="Calibri" w:cs="Calibri"/>
          <w:color w:val="auto"/>
          <w:sz w:val="22"/>
          <w:szCs w:val="22"/>
        </w:rPr>
        <w:t>Khodadoust</w:t>
      </w:r>
      <w:proofErr w:type="spellEnd"/>
      <w:r>
        <w:rPr>
          <w:rFonts w:ascii="Calibri" w:hAnsi="Calibri" w:cs="Calibri"/>
          <w:color w:val="auto"/>
          <w:sz w:val="22"/>
          <w:szCs w:val="22"/>
        </w:rPr>
        <w:t xml:space="preserve"> MS, </w:t>
      </w:r>
      <w:proofErr w:type="spellStart"/>
      <w:r>
        <w:rPr>
          <w:rFonts w:ascii="Calibri" w:hAnsi="Calibri" w:cs="Calibri"/>
          <w:color w:val="auto"/>
          <w:sz w:val="22"/>
          <w:szCs w:val="22"/>
        </w:rPr>
        <w:t>Chinnaiyan</w:t>
      </w:r>
      <w:proofErr w:type="spellEnd"/>
      <w:r>
        <w:rPr>
          <w:rFonts w:ascii="Calibri" w:hAnsi="Calibri" w:cs="Calibri"/>
          <w:color w:val="auto"/>
          <w:sz w:val="22"/>
          <w:szCs w:val="22"/>
        </w:rPr>
        <w:t xml:space="preserve"> AM, Luger K, </w:t>
      </w:r>
      <w:proofErr w:type="spellStart"/>
      <w:r>
        <w:rPr>
          <w:rFonts w:ascii="Calibri" w:hAnsi="Calibri" w:cs="Calibri"/>
          <w:color w:val="auto"/>
          <w:sz w:val="22"/>
          <w:szCs w:val="22"/>
        </w:rPr>
        <w:t>Erhardt</w:t>
      </w:r>
      <w:proofErr w:type="spellEnd"/>
      <w:r>
        <w:rPr>
          <w:rFonts w:ascii="Calibri" w:hAnsi="Calibri" w:cs="Calibri"/>
          <w:color w:val="auto"/>
          <w:sz w:val="22"/>
          <w:szCs w:val="22"/>
        </w:rPr>
        <w:t xml:space="preserve"> S, Schneider R, </w:t>
      </w:r>
      <w:proofErr w:type="spellStart"/>
      <w:r>
        <w:rPr>
          <w:rFonts w:ascii="Calibri" w:hAnsi="Calibri" w:cs="Calibri"/>
          <w:color w:val="auto"/>
          <w:sz w:val="22"/>
          <w:szCs w:val="22"/>
        </w:rPr>
        <w:t>Markovitz</w:t>
      </w:r>
      <w:proofErr w:type="spellEnd"/>
      <w:r>
        <w:rPr>
          <w:rFonts w:ascii="Calibri" w:hAnsi="Calibri" w:cs="Calibri"/>
          <w:color w:val="auto"/>
          <w:sz w:val="22"/>
          <w:szCs w:val="22"/>
        </w:rPr>
        <w:t xml:space="preserve"> DM. The DEK </w:t>
      </w:r>
      <w:proofErr w:type="spellStart"/>
      <w:r>
        <w:rPr>
          <w:rFonts w:ascii="Calibri" w:hAnsi="Calibri" w:cs="Calibri"/>
          <w:color w:val="auto"/>
          <w:sz w:val="22"/>
          <w:szCs w:val="22"/>
        </w:rPr>
        <w:t>oncoprotein</w:t>
      </w:r>
      <w:proofErr w:type="spellEnd"/>
      <w:r>
        <w:rPr>
          <w:rFonts w:ascii="Calibri" w:hAnsi="Calibri" w:cs="Calibri"/>
          <w:color w:val="auto"/>
          <w:sz w:val="22"/>
          <w:szCs w:val="22"/>
        </w:rPr>
        <w:t xml:space="preserve"> is a Su(</w:t>
      </w:r>
      <w:proofErr w:type="spellStart"/>
      <w:r>
        <w:rPr>
          <w:rFonts w:ascii="Calibri" w:hAnsi="Calibri" w:cs="Calibri"/>
          <w:color w:val="auto"/>
          <w:sz w:val="22"/>
          <w:szCs w:val="22"/>
        </w:rPr>
        <w:t>var</w:t>
      </w:r>
      <w:proofErr w:type="spellEnd"/>
      <w:r>
        <w:rPr>
          <w:rFonts w:ascii="Calibri" w:hAnsi="Calibri" w:cs="Calibri"/>
          <w:color w:val="auto"/>
          <w:sz w:val="22"/>
          <w:szCs w:val="22"/>
        </w:rPr>
        <w:t>) that is essential to heterochromatin integrity</w:t>
      </w:r>
      <w:r>
        <w:rPr>
          <w:rFonts w:ascii="Calibri" w:hAnsi="Calibri" w:cs="Calibri"/>
          <w:i/>
          <w:iCs/>
          <w:color w:val="auto"/>
          <w:sz w:val="22"/>
          <w:szCs w:val="22"/>
        </w:rPr>
        <w:t xml:space="preserve">. </w:t>
      </w:r>
      <w:r>
        <w:rPr>
          <w:rFonts w:ascii="Calibri" w:hAnsi="Calibri" w:cs="Calibri"/>
          <w:color w:val="auto"/>
          <w:sz w:val="22"/>
          <w:szCs w:val="22"/>
        </w:rPr>
        <w:t xml:space="preserve">Genes Dev, 2011. 25: 673-8.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4. </w:t>
      </w:r>
      <w:proofErr w:type="spellStart"/>
      <w:r>
        <w:rPr>
          <w:rFonts w:ascii="Calibri" w:hAnsi="Calibri" w:cs="Calibri"/>
          <w:color w:val="auto"/>
          <w:sz w:val="22"/>
          <w:szCs w:val="22"/>
        </w:rPr>
        <w:t>Hennig</w:t>
      </w:r>
      <w:proofErr w:type="spellEnd"/>
      <w:r>
        <w:rPr>
          <w:rFonts w:ascii="Calibri" w:hAnsi="Calibri" w:cs="Calibri"/>
          <w:color w:val="auto"/>
          <w:sz w:val="22"/>
          <w:szCs w:val="22"/>
        </w:rPr>
        <w:t xml:space="preserve"> A, Peng G-H, Chen S. Regulation of photoreceptor gene expression by </w:t>
      </w:r>
      <w:proofErr w:type="spellStart"/>
      <w:r>
        <w:rPr>
          <w:rFonts w:ascii="Calibri" w:hAnsi="Calibri" w:cs="Calibri"/>
          <w:color w:val="auto"/>
          <w:sz w:val="22"/>
          <w:szCs w:val="22"/>
        </w:rPr>
        <w:t>Crx</w:t>
      </w:r>
      <w:proofErr w:type="spellEnd"/>
      <w:r>
        <w:rPr>
          <w:rFonts w:ascii="Calibri" w:hAnsi="Calibri" w:cs="Calibri"/>
          <w:color w:val="auto"/>
          <w:sz w:val="22"/>
          <w:szCs w:val="22"/>
        </w:rPr>
        <w:t>-associated transcription factor network</w:t>
      </w:r>
      <w:r>
        <w:rPr>
          <w:rFonts w:ascii="Calibri" w:hAnsi="Calibri" w:cs="Calibri"/>
          <w:i/>
          <w:iCs/>
          <w:color w:val="auto"/>
          <w:sz w:val="22"/>
          <w:szCs w:val="22"/>
        </w:rPr>
        <w:t xml:space="preserve">. </w:t>
      </w:r>
      <w:r>
        <w:rPr>
          <w:rFonts w:ascii="Calibri" w:hAnsi="Calibri" w:cs="Calibri"/>
          <w:color w:val="auto"/>
          <w:sz w:val="22"/>
          <w:szCs w:val="22"/>
        </w:rPr>
        <w:t xml:space="preserve">Brain Res, 2008. 1192: 114-133.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5. Bunt J, Hasselt NE, </w:t>
      </w:r>
      <w:proofErr w:type="spellStart"/>
      <w:r>
        <w:rPr>
          <w:rFonts w:ascii="Calibri" w:hAnsi="Calibri" w:cs="Calibri"/>
          <w:color w:val="auto"/>
          <w:sz w:val="22"/>
          <w:szCs w:val="22"/>
        </w:rPr>
        <w:t>Zwijnenburg</w:t>
      </w:r>
      <w:proofErr w:type="spellEnd"/>
      <w:r>
        <w:rPr>
          <w:rFonts w:ascii="Calibri" w:hAnsi="Calibri" w:cs="Calibri"/>
          <w:color w:val="auto"/>
          <w:sz w:val="22"/>
          <w:szCs w:val="22"/>
        </w:rPr>
        <w:t xml:space="preserve"> DA, </w:t>
      </w:r>
      <w:proofErr w:type="spellStart"/>
      <w:r>
        <w:rPr>
          <w:rFonts w:ascii="Calibri" w:hAnsi="Calibri" w:cs="Calibri"/>
          <w:color w:val="auto"/>
          <w:sz w:val="22"/>
          <w:szCs w:val="22"/>
        </w:rPr>
        <w:t>Hamdi</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Koster</w:t>
      </w:r>
      <w:proofErr w:type="spellEnd"/>
      <w:r>
        <w:rPr>
          <w:rFonts w:ascii="Calibri" w:hAnsi="Calibri" w:cs="Calibri"/>
          <w:color w:val="auto"/>
          <w:sz w:val="22"/>
          <w:szCs w:val="22"/>
        </w:rPr>
        <w:t xml:space="preserve"> J, </w:t>
      </w:r>
      <w:proofErr w:type="spellStart"/>
      <w:r>
        <w:rPr>
          <w:rFonts w:ascii="Calibri" w:hAnsi="Calibri" w:cs="Calibri"/>
          <w:color w:val="auto"/>
          <w:sz w:val="22"/>
          <w:szCs w:val="22"/>
        </w:rPr>
        <w:t>Versteeg</w:t>
      </w:r>
      <w:proofErr w:type="spellEnd"/>
      <w:r>
        <w:rPr>
          <w:rFonts w:ascii="Calibri" w:hAnsi="Calibri" w:cs="Calibri"/>
          <w:color w:val="auto"/>
          <w:sz w:val="22"/>
          <w:szCs w:val="22"/>
        </w:rPr>
        <w:t xml:space="preserve"> R, Kool M. OTX2 directly activates cell cycle genes and inhibits differentiation in </w:t>
      </w:r>
      <w:proofErr w:type="spellStart"/>
      <w:r>
        <w:rPr>
          <w:rFonts w:ascii="Calibri" w:hAnsi="Calibri" w:cs="Calibri"/>
          <w:color w:val="auto"/>
          <w:sz w:val="22"/>
          <w:szCs w:val="22"/>
        </w:rPr>
        <w:t>medulloblastoma</w:t>
      </w:r>
      <w:proofErr w:type="spellEnd"/>
      <w:r>
        <w:rPr>
          <w:rFonts w:ascii="Calibri" w:hAnsi="Calibri" w:cs="Calibri"/>
          <w:color w:val="auto"/>
          <w:sz w:val="22"/>
          <w:szCs w:val="22"/>
        </w:rPr>
        <w:t xml:space="preserve"> cells</w:t>
      </w:r>
      <w:r>
        <w:rPr>
          <w:rFonts w:ascii="Calibri" w:hAnsi="Calibri" w:cs="Calibri"/>
          <w:i/>
          <w:iCs/>
          <w:color w:val="auto"/>
          <w:sz w:val="22"/>
          <w:szCs w:val="22"/>
        </w:rPr>
        <w:t xml:space="preserve">. </w:t>
      </w:r>
      <w:proofErr w:type="spellStart"/>
      <w:r>
        <w:rPr>
          <w:rFonts w:ascii="Calibri" w:hAnsi="Calibri" w:cs="Calibri"/>
          <w:color w:val="auto"/>
          <w:sz w:val="22"/>
          <w:szCs w:val="22"/>
        </w:rPr>
        <w:t>Int</w:t>
      </w:r>
      <w:proofErr w:type="spellEnd"/>
      <w:r>
        <w:rPr>
          <w:rFonts w:ascii="Calibri" w:hAnsi="Calibri" w:cs="Calibri"/>
          <w:color w:val="auto"/>
          <w:sz w:val="22"/>
          <w:szCs w:val="22"/>
        </w:rPr>
        <w:t xml:space="preserve"> J Cancer, 2012. 131: E21-32.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6. </w:t>
      </w:r>
      <w:proofErr w:type="spellStart"/>
      <w:r>
        <w:rPr>
          <w:rFonts w:ascii="Calibri" w:hAnsi="Calibri" w:cs="Calibri"/>
          <w:color w:val="auto"/>
          <w:sz w:val="22"/>
          <w:szCs w:val="22"/>
        </w:rPr>
        <w:t>Ko</w:t>
      </w:r>
      <w:proofErr w:type="spellEnd"/>
      <w:r>
        <w:rPr>
          <w:rFonts w:ascii="Calibri" w:hAnsi="Calibri" w:cs="Calibri"/>
          <w:color w:val="auto"/>
          <w:sz w:val="22"/>
          <w:szCs w:val="22"/>
        </w:rPr>
        <w:t xml:space="preserve"> SI, Lee IS, Kim JY, Kim SM, Kim DW, Lee KS, Woo KM, </w:t>
      </w:r>
      <w:proofErr w:type="spellStart"/>
      <w:r>
        <w:rPr>
          <w:rFonts w:ascii="Calibri" w:hAnsi="Calibri" w:cs="Calibri"/>
          <w:color w:val="auto"/>
          <w:sz w:val="22"/>
          <w:szCs w:val="22"/>
        </w:rPr>
        <w:t>Baek</w:t>
      </w:r>
      <w:proofErr w:type="spellEnd"/>
      <w:r>
        <w:rPr>
          <w:rFonts w:ascii="Calibri" w:hAnsi="Calibri" w:cs="Calibri"/>
          <w:color w:val="auto"/>
          <w:sz w:val="22"/>
          <w:szCs w:val="22"/>
        </w:rPr>
        <w:t xml:space="preserve"> JH, Choo JK, </w:t>
      </w:r>
      <w:proofErr w:type="spellStart"/>
      <w:r>
        <w:rPr>
          <w:rFonts w:ascii="Calibri" w:hAnsi="Calibri" w:cs="Calibri"/>
          <w:color w:val="auto"/>
          <w:sz w:val="22"/>
          <w:szCs w:val="22"/>
        </w:rPr>
        <w:t>Seo</w:t>
      </w:r>
      <w:proofErr w:type="spellEnd"/>
      <w:r>
        <w:rPr>
          <w:rFonts w:ascii="Calibri" w:hAnsi="Calibri" w:cs="Calibri"/>
          <w:color w:val="auto"/>
          <w:sz w:val="22"/>
          <w:szCs w:val="22"/>
        </w:rPr>
        <w:t xml:space="preserve"> SB. Regulation of histone acetyltransferase activity of p300 and PCAF by proto-oncogene protein DEK</w:t>
      </w:r>
      <w:r>
        <w:rPr>
          <w:rFonts w:ascii="Calibri" w:hAnsi="Calibri" w:cs="Calibri"/>
          <w:i/>
          <w:iCs/>
          <w:color w:val="auto"/>
          <w:sz w:val="22"/>
          <w:szCs w:val="22"/>
        </w:rPr>
        <w:t xml:space="preserve">. </w:t>
      </w:r>
      <w:r>
        <w:rPr>
          <w:rFonts w:ascii="Calibri" w:hAnsi="Calibri" w:cs="Calibri"/>
          <w:color w:val="auto"/>
          <w:sz w:val="22"/>
          <w:szCs w:val="22"/>
        </w:rPr>
        <w:t xml:space="preserve">FEBS Lett, 2006. 580: 3217-22.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7. </w:t>
      </w:r>
      <w:proofErr w:type="spellStart"/>
      <w:r>
        <w:rPr>
          <w:rFonts w:ascii="Calibri" w:hAnsi="Calibri" w:cs="Calibri"/>
          <w:color w:val="auto"/>
          <w:sz w:val="22"/>
          <w:szCs w:val="22"/>
        </w:rPr>
        <w:t>Alfano</w:t>
      </w:r>
      <w:proofErr w:type="spellEnd"/>
      <w:r>
        <w:rPr>
          <w:rFonts w:ascii="Calibri" w:hAnsi="Calibri" w:cs="Calibri"/>
          <w:color w:val="auto"/>
          <w:sz w:val="22"/>
          <w:szCs w:val="22"/>
        </w:rPr>
        <w:t xml:space="preserve"> G, </w:t>
      </w:r>
      <w:proofErr w:type="spellStart"/>
      <w:r>
        <w:rPr>
          <w:rFonts w:ascii="Calibri" w:hAnsi="Calibri" w:cs="Calibri"/>
          <w:color w:val="auto"/>
          <w:sz w:val="22"/>
          <w:szCs w:val="22"/>
        </w:rPr>
        <w:t>Vitiello</w:t>
      </w:r>
      <w:proofErr w:type="spellEnd"/>
      <w:r>
        <w:rPr>
          <w:rFonts w:ascii="Calibri" w:hAnsi="Calibri" w:cs="Calibri"/>
          <w:color w:val="auto"/>
          <w:sz w:val="22"/>
          <w:szCs w:val="22"/>
        </w:rPr>
        <w:t xml:space="preserve"> C, </w:t>
      </w:r>
      <w:proofErr w:type="spellStart"/>
      <w:r>
        <w:rPr>
          <w:rFonts w:ascii="Calibri" w:hAnsi="Calibri" w:cs="Calibri"/>
          <w:color w:val="auto"/>
          <w:sz w:val="22"/>
          <w:szCs w:val="22"/>
        </w:rPr>
        <w:t>Caccioppoli</w:t>
      </w:r>
      <w:proofErr w:type="spellEnd"/>
      <w:r>
        <w:rPr>
          <w:rFonts w:ascii="Calibri" w:hAnsi="Calibri" w:cs="Calibri"/>
          <w:color w:val="auto"/>
          <w:sz w:val="22"/>
          <w:szCs w:val="22"/>
        </w:rPr>
        <w:t xml:space="preserve"> C, </w:t>
      </w:r>
      <w:proofErr w:type="spellStart"/>
      <w:r>
        <w:rPr>
          <w:rFonts w:ascii="Calibri" w:hAnsi="Calibri" w:cs="Calibri"/>
          <w:color w:val="auto"/>
          <w:sz w:val="22"/>
          <w:szCs w:val="22"/>
        </w:rPr>
        <w:t>Caramico</w:t>
      </w:r>
      <w:proofErr w:type="spellEnd"/>
      <w:r>
        <w:rPr>
          <w:rFonts w:ascii="Calibri" w:hAnsi="Calibri" w:cs="Calibri"/>
          <w:color w:val="auto"/>
          <w:sz w:val="22"/>
          <w:szCs w:val="22"/>
        </w:rPr>
        <w:t xml:space="preserve"> T, Carola A, </w:t>
      </w:r>
      <w:proofErr w:type="spellStart"/>
      <w:r>
        <w:rPr>
          <w:rFonts w:ascii="Calibri" w:hAnsi="Calibri" w:cs="Calibri"/>
          <w:color w:val="auto"/>
          <w:sz w:val="22"/>
          <w:szCs w:val="22"/>
        </w:rPr>
        <w:t>Szego</w:t>
      </w:r>
      <w:proofErr w:type="spellEnd"/>
      <w:r>
        <w:rPr>
          <w:rFonts w:ascii="Calibri" w:hAnsi="Calibri" w:cs="Calibri"/>
          <w:color w:val="auto"/>
          <w:sz w:val="22"/>
          <w:szCs w:val="22"/>
        </w:rPr>
        <w:t xml:space="preserve"> MJ, </w:t>
      </w:r>
      <w:proofErr w:type="spellStart"/>
      <w:r>
        <w:rPr>
          <w:rFonts w:ascii="Calibri" w:hAnsi="Calibri" w:cs="Calibri"/>
          <w:color w:val="auto"/>
          <w:sz w:val="22"/>
          <w:szCs w:val="22"/>
        </w:rPr>
        <w:t>McInnes</w:t>
      </w:r>
      <w:proofErr w:type="spellEnd"/>
      <w:r>
        <w:rPr>
          <w:rFonts w:ascii="Calibri" w:hAnsi="Calibri" w:cs="Calibri"/>
          <w:color w:val="auto"/>
          <w:sz w:val="22"/>
          <w:szCs w:val="22"/>
        </w:rPr>
        <w:t xml:space="preserve"> RR, </w:t>
      </w:r>
      <w:proofErr w:type="spellStart"/>
      <w:r>
        <w:rPr>
          <w:rFonts w:ascii="Calibri" w:hAnsi="Calibri" w:cs="Calibri"/>
          <w:color w:val="auto"/>
          <w:sz w:val="22"/>
          <w:szCs w:val="22"/>
        </w:rPr>
        <w:t>Auricchio</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Banfi</w:t>
      </w:r>
      <w:proofErr w:type="spellEnd"/>
      <w:r>
        <w:rPr>
          <w:rFonts w:ascii="Calibri" w:hAnsi="Calibri" w:cs="Calibri"/>
          <w:color w:val="auto"/>
          <w:sz w:val="22"/>
          <w:szCs w:val="22"/>
        </w:rPr>
        <w:t xml:space="preserve"> S. Natural antisense transcripts associated with genes involved in eye development</w:t>
      </w:r>
      <w:r>
        <w:rPr>
          <w:rFonts w:ascii="Calibri" w:hAnsi="Calibri" w:cs="Calibri"/>
          <w:i/>
          <w:iCs/>
          <w:color w:val="auto"/>
          <w:sz w:val="22"/>
          <w:szCs w:val="22"/>
        </w:rPr>
        <w:t xml:space="preserve">. </w:t>
      </w:r>
      <w:r>
        <w:rPr>
          <w:rFonts w:ascii="Calibri" w:hAnsi="Calibri" w:cs="Calibri"/>
          <w:color w:val="auto"/>
          <w:sz w:val="22"/>
          <w:szCs w:val="22"/>
        </w:rPr>
        <w:t xml:space="preserve">Hum </w:t>
      </w:r>
      <w:proofErr w:type="spellStart"/>
      <w:r>
        <w:rPr>
          <w:rFonts w:ascii="Calibri" w:hAnsi="Calibri" w:cs="Calibri"/>
          <w:color w:val="auto"/>
          <w:sz w:val="22"/>
          <w:szCs w:val="22"/>
        </w:rPr>
        <w:t>Mol</w:t>
      </w:r>
      <w:proofErr w:type="spellEnd"/>
      <w:r>
        <w:rPr>
          <w:rFonts w:ascii="Calibri" w:hAnsi="Calibri" w:cs="Calibri"/>
          <w:color w:val="auto"/>
          <w:sz w:val="22"/>
          <w:szCs w:val="22"/>
        </w:rPr>
        <w:t xml:space="preserve"> Genet, 2005. 14: 913-23.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8. </w:t>
      </w:r>
      <w:proofErr w:type="spellStart"/>
      <w:r>
        <w:rPr>
          <w:rFonts w:ascii="Calibri" w:hAnsi="Calibri" w:cs="Calibri"/>
          <w:color w:val="auto"/>
          <w:sz w:val="22"/>
          <w:szCs w:val="22"/>
        </w:rPr>
        <w:t>Cabili</w:t>
      </w:r>
      <w:proofErr w:type="spellEnd"/>
      <w:r>
        <w:rPr>
          <w:rFonts w:ascii="Calibri" w:hAnsi="Calibri" w:cs="Calibri"/>
          <w:color w:val="auto"/>
          <w:sz w:val="22"/>
          <w:szCs w:val="22"/>
        </w:rPr>
        <w:t xml:space="preserve"> MN, </w:t>
      </w:r>
      <w:proofErr w:type="spellStart"/>
      <w:r>
        <w:rPr>
          <w:rFonts w:ascii="Calibri" w:hAnsi="Calibri" w:cs="Calibri"/>
          <w:color w:val="auto"/>
          <w:sz w:val="22"/>
          <w:szCs w:val="22"/>
        </w:rPr>
        <w:t>Trapnell</w:t>
      </w:r>
      <w:proofErr w:type="spellEnd"/>
      <w:r>
        <w:rPr>
          <w:rFonts w:ascii="Calibri" w:hAnsi="Calibri" w:cs="Calibri"/>
          <w:color w:val="auto"/>
          <w:sz w:val="22"/>
          <w:szCs w:val="22"/>
        </w:rPr>
        <w:t xml:space="preserve"> C, Goff L, </w:t>
      </w:r>
      <w:proofErr w:type="spellStart"/>
      <w:r>
        <w:rPr>
          <w:rFonts w:ascii="Calibri" w:hAnsi="Calibri" w:cs="Calibri"/>
          <w:color w:val="auto"/>
          <w:sz w:val="22"/>
          <w:szCs w:val="22"/>
        </w:rPr>
        <w:t>Koziol</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Tazon</w:t>
      </w:r>
      <w:proofErr w:type="spellEnd"/>
      <w:r>
        <w:rPr>
          <w:rFonts w:ascii="Calibri" w:hAnsi="Calibri" w:cs="Calibri"/>
          <w:color w:val="auto"/>
          <w:sz w:val="22"/>
          <w:szCs w:val="22"/>
        </w:rPr>
        <w:t xml:space="preserve">-Vega B, </w:t>
      </w:r>
      <w:proofErr w:type="spellStart"/>
      <w:r>
        <w:rPr>
          <w:rFonts w:ascii="Calibri" w:hAnsi="Calibri" w:cs="Calibri"/>
          <w:color w:val="auto"/>
          <w:sz w:val="22"/>
          <w:szCs w:val="22"/>
        </w:rPr>
        <w:t>Regev</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Rinn</w:t>
      </w:r>
      <w:proofErr w:type="spellEnd"/>
      <w:r>
        <w:rPr>
          <w:rFonts w:ascii="Calibri" w:hAnsi="Calibri" w:cs="Calibri"/>
          <w:color w:val="auto"/>
          <w:sz w:val="22"/>
          <w:szCs w:val="22"/>
        </w:rPr>
        <w:t xml:space="preserve"> JL. Integrative annotation of human large intergenic noncoding RNAs reveals global properties and specific subclasses</w:t>
      </w:r>
      <w:r>
        <w:rPr>
          <w:rFonts w:ascii="Calibri" w:hAnsi="Calibri" w:cs="Calibri"/>
          <w:i/>
          <w:iCs/>
          <w:color w:val="auto"/>
          <w:sz w:val="22"/>
          <w:szCs w:val="22"/>
        </w:rPr>
        <w:t xml:space="preserve">. </w:t>
      </w:r>
      <w:r>
        <w:rPr>
          <w:rFonts w:ascii="Calibri" w:hAnsi="Calibri" w:cs="Calibri"/>
          <w:color w:val="auto"/>
          <w:sz w:val="22"/>
          <w:szCs w:val="22"/>
        </w:rPr>
        <w:t xml:space="preserve">Genes Dev, 2011. 25: 1915-27.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9. </w:t>
      </w:r>
      <w:proofErr w:type="spellStart"/>
      <w:r>
        <w:rPr>
          <w:rFonts w:ascii="Calibri" w:hAnsi="Calibri" w:cs="Calibri"/>
          <w:color w:val="auto"/>
          <w:sz w:val="22"/>
          <w:szCs w:val="22"/>
        </w:rPr>
        <w:t>Toedling</w:t>
      </w:r>
      <w:proofErr w:type="spellEnd"/>
      <w:r>
        <w:rPr>
          <w:rFonts w:ascii="Calibri" w:hAnsi="Calibri" w:cs="Calibri"/>
          <w:color w:val="auto"/>
          <w:sz w:val="22"/>
          <w:szCs w:val="22"/>
        </w:rPr>
        <w:t xml:space="preserve"> J, Skylar O, Krueger T, Fischer JJ, Sperling S, Huber W. Ringo--an R/Bioconductor package for </w:t>
      </w:r>
      <w:proofErr w:type="spellStart"/>
      <w:r>
        <w:rPr>
          <w:rFonts w:ascii="Calibri" w:hAnsi="Calibri" w:cs="Calibri"/>
          <w:color w:val="auto"/>
          <w:sz w:val="22"/>
          <w:szCs w:val="22"/>
        </w:rPr>
        <w:t>analyzing</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ChIP</w:t>
      </w:r>
      <w:proofErr w:type="spellEnd"/>
      <w:r>
        <w:rPr>
          <w:rFonts w:ascii="Calibri" w:hAnsi="Calibri" w:cs="Calibri"/>
          <w:color w:val="auto"/>
          <w:sz w:val="22"/>
          <w:szCs w:val="22"/>
        </w:rPr>
        <w:t>-chip readouts</w:t>
      </w:r>
      <w:r>
        <w:rPr>
          <w:rFonts w:ascii="Calibri" w:hAnsi="Calibri" w:cs="Calibri"/>
          <w:i/>
          <w:iCs/>
          <w:color w:val="auto"/>
          <w:sz w:val="22"/>
          <w:szCs w:val="22"/>
        </w:rPr>
        <w:t xml:space="preserve">. </w:t>
      </w:r>
      <w:r>
        <w:rPr>
          <w:rFonts w:ascii="Calibri" w:hAnsi="Calibri" w:cs="Calibri"/>
          <w:color w:val="auto"/>
          <w:sz w:val="22"/>
          <w:szCs w:val="22"/>
        </w:rPr>
        <w:t xml:space="preserve">BMC Bioinformatics, 2007. 8: 221.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10. Palm T, Hemmer K, Winter J, Fricke IB, </w:t>
      </w:r>
      <w:proofErr w:type="spellStart"/>
      <w:r>
        <w:rPr>
          <w:rFonts w:ascii="Calibri" w:hAnsi="Calibri" w:cs="Calibri"/>
          <w:color w:val="auto"/>
          <w:sz w:val="22"/>
          <w:szCs w:val="22"/>
        </w:rPr>
        <w:t>Tarbashevich</w:t>
      </w:r>
      <w:proofErr w:type="spellEnd"/>
      <w:r>
        <w:rPr>
          <w:rFonts w:ascii="Calibri" w:hAnsi="Calibri" w:cs="Calibri"/>
          <w:color w:val="auto"/>
          <w:sz w:val="22"/>
          <w:szCs w:val="22"/>
        </w:rPr>
        <w:t xml:space="preserve"> K, </w:t>
      </w:r>
      <w:proofErr w:type="spellStart"/>
      <w:r>
        <w:rPr>
          <w:rFonts w:ascii="Calibri" w:hAnsi="Calibri" w:cs="Calibri"/>
          <w:color w:val="auto"/>
          <w:sz w:val="22"/>
          <w:szCs w:val="22"/>
        </w:rPr>
        <w:t>Sadeghi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Shakib</w:t>
      </w:r>
      <w:proofErr w:type="spellEnd"/>
      <w:r>
        <w:rPr>
          <w:rFonts w:ascii="Calibri" w:hAnsi="Calibri" w:cs="Calibri"/>
          <w:color w:val="auto"/>
          <w:sz w:val="22"/>
          <w:szCs w:val="22"/>
        </w:rPr>
        <w:t xml:space="preserve"> F, Rudolph IM, </w:t>
      </w:r>
      <w:proofErr w:type="spellStart"/>
      <w:r>
        <w:rPr>
          <w:rFonts w:ascii="Calibri" w:hAnsi="Calibri" w:cs="Calibri"/>
          <w:color w:val="auto"/>
          <w:sz w:val="22"/>
          <w:szCs w:val="22"/>
        </w:rPr>
        <w:t>Hillje</w:t>
      </w:r>
      <w:proofErr w:type="spellEnd"/>
      <w:r>
        <w:rPr>
          <w:rFonts w:ascii="Calibri" w:hAnsi="Calibri" w:cs="Calibri"/>
          <w:color w:val="auto"/>
          <w:sz w:val="22"/>
          <w:szCs w:val="22"/>
        </w:rPr>
        <w:t xml:space="preserve"> AL, De Luca P, </w:t>
      </w:r>
      <w:proofErr w:type="spellStart"/>
      <w:r>
        <w:rPr>
          <w:rFonts w:ascii="Calibri" w:hAnsi="Calibri" w:cs="Calibri"/>
          <w:color w:val="auto"/>
          <w:sz w:val="22"/>
          <w:szCs w:val="22"/>
        </w:rPr>
        <w:t>Bahnassawy</w:t>
      </w:r>
      <w:proofErr w:type="spellEnd"/>
      <w:r>
        <w:rPr>
          <w:rFonts w:ascii="Calibri" w:hAnsi="Calibri" w:cs="Calibri"/>
          <w:color w:val="auto"/>
          <w:sz w:val="22"/>
          <w:szCs w:val="22"/>
        </w:rPr>
        <w:t xml:space="preserve"> L, </w:t>
      </w:r>
      <w:proofErr w:type="spellStart"/>
      <w:r>
        <w:rPr>
          <w:rFonts w:ascii="Calibri" w:hAnsi="Calibri" w:cs="Calibri"/>
          <w:color w:val="auto"/>
          <w:sz w:val="22"/>
          <w:szCs w:val="22"/>
        </w:rPr>
        <w:t>Madel</w:t>
      </w:r>
      <w:proofErr w:type="spellEnd"/>
      <w:r>
        <w:rPr>
          <w:rFonts w:ascii="Calibri" w:hAnsi="Calibri" w:cs="Calibri"/>
          <w:color w:val="auto"/>
          <w:sz w:val="22"/>
          <w:szCs w:val="22"/>
        </w:rPr>
        <w:t xml:space="preserve"> R, </w:t>
      </w:r>
      <w:proofErr w:type="spellStart"/>
      <w:r>
        <w:rPr>
          <w:rFonts w:ascii="Calibri" w:hAnsi="Calibri" w:cs="Calibri"/>
          <w:color w:val="auto"/>
          <w:sz w:val="22"/>
          <w:szCs w:val="22"/>
        </w:rPr>
        <w:t>Viel</w:t>
      </w:r>
      <w:proofErr w:type="spellEnd"/>
      <w:r>
        <w:rPr>
          <w:rFonts w:ascii="Calibri" w:hAnsi="Calibri" w:cs="Calibri"/>
          <w:color w:val="auto"/>
          <w:sz w:val="22"/>
          <w:szCs w:val="22"/>
        </w:rPr>
        <w:t xml:space="preserve"> T, De </w:t>
      </w:r>
      <w:proofErr w:type="spellStart"/>
      <w:r>
        <w:rPr>
          <w:rFonts w:ascii="Calibri" w:hAnsi="Calibri" w:cs="Calibri"/>
          <w:color w:val="auto"/>
          <w:sz w:val="22"/>
          <w:szCs w:val="22"/>
        </w:rPr>
        <w:t>Siervi</w:t>
      </w:r>
      <w:proofErr w:type="spellEnd"/>
      <w:r>
        <w:rPr>
          <w:rFonts w:ascii="Calibri" w:hAnsi="Calibri" w:cs="Calibri"/>
          <w:color w:val="auto"/>
          <w:sz w:val="22"/>
          <w:szCs w:val="22"/>
        </w:rPr>
        <w:t xml:space="preserve"> A, Jacobs AH, </w:t>
      </w:r>
      <w:proofErr w:type="spellStart"/>
      <w:r>
        <w:rPr>
          <w:rFonts w:ascii="Calibri" w:hAnsi="Calibri" w:cs="Calibri"/>
          <w:color w:val="auto"/>
          <w:sz w:val="22"/>
          <w:szCs w:val="22"/>
        </w:rPr>
        <w:t>Diederichs</w:t>
      </w:r>
      <w:proofErr w:type="spellEnd"/>
      <w:r>
        <w:rPr>
          <w:rFonts w:ascii="Calibri" w:hAnsi="Calibri" w:cs="Calibri"/>
          <w:color w:val="auto"/>
          <w:sz w:val="22"/>
          <w:szCs w:val="22"/>
        </w:rPr>
        <w:t xml:space="preserve"> S, </w:t>
      </w:r>
      <w:proofErr w:type="spellStart"/>
      <w:r>
        <w:rPr>
          <w:rFonts w:ascii="Calibri" w:hAnsi="Calibri" w:cs="Calibri"/>
          <w:color w:val="auto"/>
          <w:sz w:val="22"/>
          <w:szCs w:val="22"/>
        </w:rPr>
        <w:t>Schwamborn</w:t>
      </w:r>
      <w:proofErr w:type="spellEnd"/>
      <w:r>
        <w:rPr>
          <w:rFonts w:ascii="Calibri" w:hAnsi="Calibri" w:cs="Calibri"/>
          <w:color w:val="auto"/>
          <w:sz w:val="22"/>
          <w:szCs w:val="22"/>
        </w:rPr>
        <w:t xml:space="preserve"> JC. A systemic transcriptome analysis reveals the regulation of neural stem cell maintenance by an E2F1-miRNA feedback loop</w:t>
      </w:r>
      <w:r>
        <w:rPr>
          <w:rFonts w:ascii="Calibri" w:hAnsi="Calibri" w:cs="Calibri"/>
          <w:i/>
          <w:iCs/>
          <w:color w:val="auto"/>
          <w:sz w:val="22"/>
          <w:szCs w:val="22"/>
        </w:rPr>
        <w:t xml:space="preserve">. </w:t>
      </w:r>
      <w:r>
        <w:rPr>
          <w:rFonts w:ascii="Calibri" w:hAnsi="Calibri" w:cs="Calibri"/>
          <w:color w:val="auto"/>
          <w:sz w:val="22"/>
          <w:szCs w:val="22"/>
        </w:rPr>
        <w:t xml:space="preserve">Nucleic Acids Res, 2013. 41: 3699-712.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11. </w:t>
      </w:r>
      <w:proofErr w:type="spellStart"/>
      <w:r>
        <w:rPr>
          <w:rFonts w:ascii="Calibri" w:hAnsi="Calibri" w:cs="Calibri"/>
          <w:color w:val="auto"/>
          <w:sz w:val="22"/>
          <w:szCs w:val="22"/>
        </w:rPr>
        <w:t>Dentice</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Marsili</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Zavacki</w:t>
      </w:r>
      <w:proofErr w:type="spellEnd"/>
      <w:r>
        <w:rPr>
          <w:rFonts w:ascii="Calibri" w:hAnsi="Calibri" w:cs="Calibri"/>
          <w:color w:val="auto"/>
          <w:sz w:val="22"/>
          <w:szCs w:val="22"/>
        </w:rPr>
        <w:t xml:space="preserve"> A, Larsen PR, Salvatore D. The deiodinases and the control of intracellular thyroid hormone </w:t>
      </w:r>
      <w:proofErr w:type="spellStart"/>
      <w:r>
        <w:rPr>
          <w:rFonts w:ascii="Calibri" w:hAnsi="Calibri" w:cs="Calibri"/>
          <w:color w:val="auto"/>
          <w:sz w:val="22"/>
          <w:szCs w:val="22"/>
        </w:rPr>
        <w:t>signaling</w:t>
      </w:r>
      <w:proofErr w:type="spellEnd"/>
      <w:r>
        <w:rPr>
          <w:rFonts w:ascii="Calibri" w:hAnsi="Calibri" w:cs="Calibri"/>
          <w:color w:val="auto"/>
          <w:sz w:val="22"/>
          <w:szCs w:val="22"/>
        </w:rPr>
        <w:t xml:space="preserve"> during cellular differentiation</w:t>
      </w:r>
      <w:r>
        <w:rPr>
          <w:rFonts w:ascii="Calibri" w:hAnsi="Calibri" w:cs="Calibri"/>
          <w:i/>
          <w:iCs/>
          <w:color w:val="auto"/>
          <w:sz w:val="22"/>
          <w:szCs w:val="22"/>
        </w:rPr>
        <w:t xml:space="preserve">. </w:t>
      </w:r>
      <w:proofErr w:type="spellStart"/>
      <w:r>
        <w:rPr>
          <w:rFonts w:ascii="Calibri" w:hAnsi="Calibri" w:cs="Calibri"/>
          <w:color w:val="auto"/>
          <w:sz w:val="22"/>
          <w:szCs w:val="22"/>
        </w:rPr>
        <w:t>Biochim</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Biophys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Acta</w:t>
      </w:r>
      <w:proofErr w:type="spellEnd"/>
      <w:r>
        <w:rPr>
          <w:rFonts w:ascii="Calibri" w:hAnsi="Calibri" w:cs="Calibri"/>
          <w:color w:val="auto"/>
          <w:sz w:val="22"/>
          <w:szCs w:val="22"/>
        </w:rPr>
        <w:t xml:space="preserve">, 2012. 1830: 3937-45. </w:t>
      </w:r>
    </w:p>
    <w:p w:rsidR="00AE3B90" w:rsidRDefault="00AE3B90" w:rsidP="00AE3B90">
      <w:pPr>
        <w:pStyle w:val="Default"/>
        <w:rPr>
          <w:rFonts w:ascii="Calibri" w:hAnsi="Calibri" w:cs="Calibri"/>
          <w:color w:val="auto"/>
          <w:sz w:val="22"/>
          <w:szCs w:val="22"/>
        </w:rPr>
      </w:pPr>
      <w:r>
        <w:rPr>
          <w:rFonts w:ascii="Calibri" w:hAnsi="Calibri" w:cs="Calibri"/>
          <w:color w:val="auto"/>
          <w:sz w:val="22"/>
          <w:szCs w:val="22"/>
        </w:rPr>
        <w:t xml:space="preserve">12. </w:t>
      </w:r>
      <w:proofErr w:type="spellStart"/>
      <w:r>
        <w:rPr>
          <w:rFonts w:ascii="Calibri" w:hAnsi="Calibri" w:cs="Calibri"/>
          <w:color w:val="auto"/>
          <w:sz w:val="22"/>
          <w:szCs w:val="22"/>
        </w:rPr>
        <w:t>Hatzi</w:t>
      </w:r>
      <w:proofErr w:type="spellEnd"/>
      <w:r>
        <w:rPr>
          <w:rFonts w:ascii="Calibri" w:hAnsi="Calibri" w:cs="Calibri"/>
          <w:color w:val="auto"/>
          <w:sz w:val="22"/>
          <w:szCs w:val="22"/>
        </w:rPr>
        <w:t xml:space="preserve"> K, Jiang Y, Huang C, Garrett-</w:t>
      </w:r>
      <w:proofErr w:type="spellStart"/>
      <w:r>
        <w:rPr>
          <w:rFonts w:ascii="Calibri" w:hAnsi="Calibri" w:cs="Calibri"/>
          <w:color w:val="auto"/>
          <w:sz w:val="22"/>
          <w:szCs w:val="22"/>
        </w:rPr>
        <w:t>Bakelman</w:t>
      </w:r>
      <w:proofErr w:type="spellEnd"/>
      <w:r>
        <w:rPr>
          <w:rFonts w:ascii="Calibri" w:hAnsi="Calibri" w:cs="Calibri"/>
          <w:color w:val="auto"/>
          <w:sz w:val="22"/>
          <w:szCs w:val="22"/>
        </w:rPr>
        <w:t xml:space="preserve"> F, Gearhart MD, </w:t>
      </w:r>
      <w:proofErr w:type="spellStart"/>
      <w:r>
        <w:rPr>
          <w:rFonts w:ascii="Calibri" w:hAnsi="Calibri" w:cs="Calibri"/>
          <w:color w:val="auto"/>
          <w:sz w:val="22"/>
          <w:szCs w:val="22"/>
        </w:rPr>
        <w:t>Giannopoulou</w:t>
      </w:r>
      <w:proofErr w:type="spellEnd"/>
      <w:r>
        <w:rPr>
          <w:rFonts w:ascii="Calibri" w:hAnsi="Calibri" w:cs="Calibri"/>
          <w:color w:val="auto"/>
          <w:sz w:val="22"/>
          <w:szCs w:val="22"/>
        </w:rPr>
        <w:t xml:space="preserve"> EG, </w:t>
      </w:r>
      <w:proofErr w:type="spellStart"/>
      <w:r>
        <w:rPr>
          <w:rFonts w:ascii="Calibri" w:hAnsi="Calibri" w:cs="Calibri"/>
          <w:color w:val="auto"/>
          <w:sz w:val="22"/>
          <w:szCs w:val="22"/>
        </w:rPr>
        <w:t>Zumbo</w:t>
      </w:r>
      <w:proofErr w:type="spellEnd"/>
      <w:r>
        <w:rPr>
          <w:rFonts w:ascii="Calibri" w:hAnsi="Calibri" w:cs="Calibri"/>
          <w:color w:val="auto"/>
          <w:sz w:val="22"/>
          <w:szCs w:val="22"/>
        </w:rPr>
        <w:t xml:space="preserve"> P, </w:t>
      </w:r>
      <w:proofErr w:type="spellStart"/>
      <w:r>
        <w:rPr>
          <w:rFonts w:ascii="Calibri" w:hAnsi="Calibri" w:cs="Calibri"/>
          <w:color w:val="auto"/>
          <w:sz w:val="22"/>
          <w:szCs w:val="22"/>
        </w:rPr>
        <w:t>Kirouac</w:t>
      </w:r>
      <w:proofErr w:type="spellEnd"/>
      <w:r>
        <w:rPr>
          <w:rFonts w:ascii="Calibri" w:hAnsi="Calibri" w:cs="Calibri"/>
          <w:color w:val="auto"/>
          <w:sz w:val="22"/>
          <w:szCs w:val="22"/>
        </w:rPr>
        <w:t xml:space="preserve"> K, </w:t>
      </w:r>
      <w:proofErr w:type="spellStart"/>
      <w:r>
        <w:rPr>
          <w:rFonts w:ascii="Calibri" w:hAnsi="Calibri" w:cs="Calibri"/>
          <w:color w:val="auto"/>
          <w:sz w:val="22"/>
          <w:szCs w:val="22"/>
        </w:rPr>
        <w:t>Bhaskara</w:t>
      </w:r>
      <w:proofErr w:type="spellEnd"/>
      <w:r>
        <w:rPr>
          <w:rFonts w:ascii="Calibri" w:hAnsi="Calibri" w:cs="Calibri"/>
          <w:color w:val="auto"/>
          <w:sz w:val="22"/>
          <w:szCs w:val="22"/>
        </w:rPr>
        <w:t xml:space="preserve"> S, Polo JM, </w:t>
      </w:r>
      <w:proofErr w:type="spellStart"/>
      <w:r>
        <w:rPr>
          <w:rFonts w:ascii="Calibri" w:hAnsi="Calibri" w:cs="Calibri"/>
          <w:color w:val="auto"/>
          <w:sz w:val="22"/>
          <w:szCs w:val="22"/>
        </w:rPr>
        <w:t>Kormaksson</w:t>
      </w:r>
      <w:proofErr w:type="spellEnd"/>
      <w:r>
        <w:rPr>
          <w:rFonts w:ascii="Calibri" w:hAnsi="Calibri" w:cs="Calibri"/>
          <w:color w:val="auto"/>
          <w:sz w:val="22"/>
          <w:szCs w:val="22"/>
        </w:rPr>
        <w:t xml:space="preserve"> M, </w:t>
      </w:r>
      <w:proofErr w:type="spellStart"/>
      <w:r>
        <w:rPr>
          <w:rFonts w:ascii="Calibri" w:hAnsi="Calibri" w:cs="Calibri"/>
          <w:color w:val="auto"/>
          <w:sz w:val="22"/>
          <w:szCs w:val="22"/>
        </w:rPr>
        <w:t>MacKerell</w:t>
      </w:r>
      <w:proofErr w:type="spellEnd"/>
      <w:r>
        <w:rPr>
          <w:rFonts w:ascii="Calibri" w:hAnsi="Calibri" w:cs="Calibri"/>
          <w:color w:val="auto"/>
          <w:sz w:val="22"/>
          <w:szCs w:val="22"/>
        </w:rPr>
        <w:t xml:space="preserve"> AD, Jr., </w:t>
      </w:r>
      <w:proofErr w:type="spellStart"/>
      <w:r>
        <w:rPr>
          <w:rFonts w:ascii="Calibri" w:hAnsi="Calibri" w:cs="Calibri"/>
          <w:color w:val="auto"/>
          <w:sz w:val="22"/>
          <w:szCs w:val="22"/>
        </w:rPr>
        <w:t>Xue</w:t>
      </w:r>
      <w:proofErr w:type="spellEnd"/>
      <w:r>
        <w:rPr>
          <w:rFonts w:ascii="Calibri" w:hAnsi="Calibri" w:cs="Calibri"/>
          <w:color w:val="auto"/>
          <w:sz w:val="22"/>
          <w:szCs w:val="22"/>
        </w:rPr>
        <w:t xml:space="preserve"> F, Mason CE, </w:t>
      </w:r>
      <w:proofErr w:type="spellStart"/>
      <w:r>
        <w:rPr>
          <w:rFonts w:ascii="Calibri" w:hAnsi="Calibri" w:cs="Calibri"/>
          <w:color w:val="auto"/>
          <w:sz w:val="22"/>
          <w:szCs w:val="22"/>
        </w:rPr>
        <w:t>Hiebert</w:t>
      </w:r>
      <w:proofErr w:type="spellEnd"/>
      <w:r>
        <w:rPr>
          <w:rFonts w:ascii="Calibri" w:hAnsi="Calibri" w:cs="Calibri"/>
          <w:color w:val="auto"/>
          <w:sz w:val="22"/>
          <w:szCs w:val="22"/>
        </w:rPr>
        <w:t xml:space="preserve"> SW, </w:t>
      </w:r>
      <w:proofErr w:type="spellStart"/>
      <w:r>
        <w:rPr>
          <w:rFonts w:ascii="Calibri" w:hAnsi="Calibri" w:cs="Calibri"/>
          <w:color w:val="auto"/>
          <w:sz w:val="22"/>
          <w:szCs w:val="22"/>
        </w:rPr>
        <w:t>Prive</w:t>
      </w:r>
      <w:proofErr w:type="spellEnd"/>
      <w:r>
        <w:rPr>
          <w:rFonts w:ascii="Calibri" w:hAnsi="Calibri" w:cs="Calibri"/>
          <w:color w:val="auto"/>
          <w:sz w:val="22"/>
          <w:szCs w:val="22"/>
        </w:rPr>
        <w:t xml:space="preserve"> GG, </w:t>
      </w:r>
      <w:proofErr w:type="spellStart"/>
      <w:r>
        <w:rPr>
          <w:rFonts w:ascii="Calibri" w:hAnsi="Calibri" w:cs="Calibri"/>
          <w:color w:val="auto"/>
          <w:sz w:val="22"/>
          <w:szCs w:val="22"/>
        </w:rPr>
        <w:t>Cerchietti</w:t>
      </w:r>
      <w:proofErr w:type="spellEnd"/>
      <w:r>
        <w:rPr>
          <w:rFonts w:ascii="Calibri" w:hAnsi="Calibri" w:cs="Calibri"/>
          <w:color w:val="auto"/>
          <w:sz w:val="22"/>
          <w:szCs w:val="22"/>
        </w:rPr>
        <w:t xml:space="preserve"> L, Bardwell VJ, </w:t>
      </w:r>
      <w:proofErr w:type="spellStart"/>
      <w:r>
        <w:rPr>
          <w:rFonts w:ascii="Calibri" w:hAnsi="Calibri" w:cs="Calibri"/>
          <w:color w:val="auto"/>
          <w:sz w:val="22"/>
          <w:szCs w:val="22"/>
        </w:rPr>
        <w:t>Elemento</w:t>
      </w:r>
      <w:proofErr w:type="spellEnd"/>
      <w:r>
        <w:rPr>
          <w:rFonts w:ascii="Calibri" w:hAnsi="Calibri" w:cs="Calibri"/>
          <w:color w:val="auto"/>
          <w:sz w:val="22"/>
          <w:szCs w:val="22"/>
        </w:rPr>
        <w:t xml:space="preserve"> O, </w:t>
      </w:r>
      <w:proofErr w:type="spellStart"/>
      <w:r>
        <w:rPr>
          <w:rFonts w:ascii="Calibri" w:hAnsi="Calibri" w:cs="Calibri"/>
          <w:color w:val="auto"/>
          <w:sz w:val="22"/>
          <w:szCs w:val="22"/>
        </w:rPr>
        <w:t>Melnick</w:t>
      </w:r>
      <w:proofErr w:type="spellEnd"/>
      <w:r>
        <w:rPr>
          <w:rFonts w:ascii="Calibri" w:hAnsi="Calibri" w:cs="Calibri"/>
          <w:color w:val="auto"/>
          <w:sz w:val="22"/>
          <w:szCs w:val="22"/>
        </w:rPr>
        <w:t xml:space="preserve"> A. A hybrid mechanism of action for BCL6 in B cells defined by formation of functionally distinct complexes at enhancers and promoters</w:t>
      </w:r>
      <w:r>
        <w:rPr>
          <w:rFonts w:ascii="Calibri" w:hAnsi="Calibri" w:cs="Calibri"/>
          <w:i/>
          <w:iCs/>
          <w:color w:val="auto"/>
          <w:sz w:val="22"/>
          <w:szCs w:val="22"/>
        </w:rPr>
        <w:t xml:space="preserve">. </w:t>
      </w:r>
      <w:r>
        <w:rPr>
          <w:rFonts w:ascii="Calibri" w:hAnsi="Calibri" w:cs="Calibri"/>
          <w:color w:val="auto"/>
          <w:sz w:val="22"/>
          <w:szCs w:val="22"/>
        </w:rPr>
        <w:t xml:space="preserve">Cell Rep, 2013. 4: 578-88. </w:t>
      </w:r>
    </w:p>
    <w:p w:rsidR="00AE3B90" w:rsidRDefault="00AE3B90" w:rsidP="00DA371A">
      <w:pPr>
        <w:pStyle w:val="Default"/>
        <w:rPr>
          <w:rFonts w:ascii="Calibri" w:hAnsi="Calibri" w:cs="Calibri"/>
          <w:color w:val="auto"/>
          <w:sz w:val="22"/>
          <w:szCs w:val="22"/>
        </w:rPr>
      </w:pPr>
      <w:r>
        <w:rPr>
          <w:rFonts w:ascii="Calibri" w:hAnsi="Calibri" w:cs="Calibri"/>
          <w:color w:val="auto"/>
          <w:sz w:val="22"/>
          <w:szCs w:val="22"/>
        </w:rPr>
        <w:t xml:space="preserve">13. Zhang J, </w:t>
      </w:r>
      <w:proofErr w:type="spellStart"/>
      <w:r>
        <w:rPr>
          <w:rFonts w:ascii="Calibri" w:hAnsi="Calibri" w:cs="Calibri"/>
          <w:color w:val="auto"/>
          <w:sz w:val="22"/>
          <w:szCs w:val="22"/>
        </w:rPr>
        <w:t>Benavente</w:t>
      </w:r>
      <w:proofErr w:type="spellEnd"/>
      <w:r>
        <w:rPr>
          <w:rFonts w:ascii="Calibri" w:hAnsi="Calibri" w:cs="Calibri"/>
          <w:color w:val="auto"/>
          <w:sz w:val="22"/>
          <w:szCs w:val="22"/>
        </w:rPr>
        <w:t xml:space="preserve"> CA, McEvoy J, Flores-Otero J, Ding L, Chen X, Ulyanov A, Wu G, Wilson M, Wang J, Brennan R, </w:t>
      </w:r>
      <w:proofErr w:type="spellStart"/>
      <w:r>
        <w:rPr>
          <w:rFonts w:ascii="Calibri" w:hAnsi="Calibri" w:cs="Calibri"/>
          <w:color w:val="auto"/>
          <w:sz w:val="22"/>
          <w:szCs w:val="22"/>
        </w:rPr>
        <w:t>Rusch</w:t>
      </w:r>
      <w:proofErr w:type="spellEnd"/>
      <w:r>
        <w:rPr>
          <w:rFonts w:ascii="Calibri" w:hAnsi="Calibri" w:cs="Calibri"/>
          <w:color w:val="auto"/>
          <w:sz w:val="22"/>
          <w:szCs w:val="22"/>
        </w:rPr>
        <w:t xml:space="preserve"> M, Manning AL, Ma J, Easton J, Shurtleff S, </w:t>
      </w:r>
      <w:proofErr w:type="spellStart"/>
      <w:r>
        <w:rPr>
          <w:rFonts w:ascii="Calibri" w:hAnsi="Calibri" w:cs="Calibri"/>
          <w:color w:val="auto"/>
          <w:sz w:val="22"/>
          <w:szCs w:val="22"/>
        </w:rPr>
        <w:t>Mullighan</w:t>
      </w:r>
      <w:proofErr w:type="spellEnd"/>
      <w:r>
        <w:rPr>
          <w:rFonts w:ascii="Calibri" w:hAnsi="Calibri" w:cs="Calibri"/>
          <w:color w:val="auto"/>
          <w:sz w:val="22"/>
          <w:szCs w:val="22"/>
        </w:rPr>
        <w:t xml:space="preserve"> C, Pounds S, </w:t>
      </w:r>
      <w:proofErr w:type="spellStart"/>
      <w:r>
        <w:rPr>
          <w:rFonts w:ascii="Calibri" w:hAnsi="Calibri" w:cs="Calibri"/>
          <w:color w:val="auto"/>
          <w:sz w:val="22"/>
          <w:szCs w:val="22"/>
        </w:rPr>
        <w:t>Mukatira</w:t>
      </w:r>
      <w:proofErr w:type="spellEnd"/>
      <w:r>
        <w:rPr>
          <w:rFonts w:ascii="Calibri" w:hAnsi="Calibri" w:cs="Calibri"/>
          <w:color w:val="auto"/>
          <w:sz w:val="22"/>
          <w:szCs w:val="22"/>
        </w:rPr>
        <w:t xml:space="preserve"> S, Gupta P, Neale G, Zhao D, Lu C, Fulton RS, Fulton LL, Hong X, </w:t>
      </w:r>
      <w:proofErr w:type="spellStart"/>
      <w:r>
        <w:rPr>
          <w:rFonts w:ascii="Calibri" w:hAnsi="Calibri" w:cs="Calibri"/>
          <w:color w:val="auto"/>
          <w:sz w:val="22"/>
          <w:szCs w:val="22"/>
        </w:rPr>
        <w:t>Dooling</w:t>
      </w:r>
      <w:proofErr w:type="spellEnd"/>
      <w:r>
        <w:rPr>
          <w:rFonts w:ascii="Calibri" w:hAnsi="Calibri" w:cs="Calibri"/>
          <w:color w:val="auto"/>
          <w:sz w:val="22"/>
          <w:szCs w:val="22"/>
        </w:rPr>
        <w:t xml:space="preserve"> DJ, Ochoa K, </w:t>
      </w:r>
      <w:proofErr w:type="spellStart"/>
      <w:r>
        <w:rPr>
          <w:rFonts w:ascii="Calibri" w:hAnsi="Calibri" w:cs="Calibri"/>
          <w:color w:val="auto"/>
          <w:sz w:val="22"/>
          <w:szCs w:val="22"/>
        </w:rPr>
        <w:t>Naeve</w:t>
      </w:r>
      <w:proofErr w:type="spellEnd"/>
      <w:r>
        <w:rPr>
          <w:rFonts w:ascii="Calibri" w:hAnsi="Calibri" w:cs="Calibri"/>
          <w:color w:val="auto"/>
          <w:sz w:val="22"/>
          <w:szCs w:val="22"/>
        </w:rPr>
        <w:t xml:space="preserve"> C, Dyson NJ, </w:t>
      </w:r>
      <w:proofErr w:type="spellStart"/>
      <w:r>
        <w:rPr>
          <w:rFonts w:ascii="Calibri" w:hAnsi="Calibri" w:cs="Calibri"/>
          <w:color w:val="auto"/>
          <w:sz w:val="22"/>
          <w:szCs w:val="22"/>
        </w:rPr>
        <w:t>Mardis</w:t>
      </w:r>
      <w:proofErr w:type="spellEnd"/>
      <w:r>
        <w:rPr>
          <w:rFonts w:ascii="Calibri" w:hAnsi="Calibri" w:cs="Calibri"/>
          <w:color w:val="auto"/>
          <w:sz w:val="22"/>
          <w:szCs w:val="22"/>
        </w:rPr>
        <w:t xml:space="preserve"> ER, </w:t>
      </w:r>
      <w:proofErr w:type="spellStart"/>
      <w:r>
        <w:rPr>
          <w:rFonts w:ascii="Calibri" w:hAnsi="Calibri" w:cs="Calibri"/>
          <w:color w:val="auto"/>
          <w:sz w:val="22"/>
          <w:szCs w:val="22"/>
        </w:rPr>
        <w:t>Bahrami</w:t>
      </w:r>
      <w:proofErr w:type="spellEnd"/>
      <w:r>
        <w:rPr>
          <w:rFonts w:ascii="Calibri" w:hAnsi="Calibri" w:cs="Calibri"/>
          <w:color w:val="auto"/>
          <w:sz w:val="22"/>
          <w:szCs w:val="22"/>
        </w:rPr>
        <w:t xml:space="preserve"> A, Ellison D, Wilson RK, Downing JR, Dyer MA. A novel retinoblastoma therapy from genomic and epigenetic analyses</w:t>
      </w:r>
      <w:r>
        <w:rPr>
          <w:rFonts w:ascii="Calibri" w:hAnsi="Calibri" w:cs="Calibri"/>
          <w:i/>
          <w:iCs/>
          <w:color w:val="auto"/>
          <w:sz w:val="22"/>
          <w:szCs w:val="22"/>
        </w:rPr>
        <w:t xml:space="preserve">. </w:t>
      </w:r>
      <w:r>
        <w:rPr>
          <w:rFonts w:ascii="Calibri" w:hAnsi="Calibri" w:cs="Calibri"/>
          <w:color w:val="auto"/>
          <w:sz w:val="22"/>
          <w:szCs w:val="22"/>
        </w:rPr>
        <w:t xml:space="preserve">Nature, 2012. 481: 329-34. </w:t>
      </w:r>
    </w:p>
    <w:p w:rsidR="00DA371A" w:rsidRDefault="00DA371A" w:rsidP="00DA371A">
      <w:pPr>
        <w:pStyle w:val="Default"/>
        <w:rPr>
          <w:rFonts w:ascii="Calibri" w:hAnsi="Calibri" w:cs="Calibri"/>
          <w:color w:val="auto"/>
          <w:sz w:val="22"/>
          <w:szCs w:val="22"/>
        </w:rPr>
      </w:pPr>
    </w:p>
    <w:p w:rsidR="00CB65E4" w:rsidRDefault="00CB65E4" w:rsidP="00DA371A">
      <w:pPr>
        <w:pStyle w:val="Default"/>
        <w:rPr>
          <w:rFonts w:ascii="Calibri" w:hAnsi="Calibri" w:cs="Calibri"/>
          <w:color w:val="auto"/>
          <w:sz w:val="23"/>
          <w:szCs w:val="23"/>
        </w:rPr>
      </w:pPr>
      <w:r>
        <w:rPr>
          <w:rFonts w:ascii="Calibri" w:hAnsi="Calibri" w:cs="Calibri"/>
          <w:noProof/>
          <w:color w:val="auto"/>
          <w:sz w:val="23"/>
          <w:szCs w:val="23"/>
          <w:lang w:eastAsia="en-GB"/>
        </w:rPr>
        <w:drawing>
          <wp:inline distT="0" distB="0" distL="0" distR="0">
            <wp:extent cx="5731510" cy="828239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282391"/>
                    </a:xfrm>
                    <a:prstGeom prst="rect">
                      <a:avLst/>
                    </a:prstGeom>
                    <a:noFill/>
                    <a:ln>
                      <a:noFill/>
                    </a:ln>
                  </pic:spPr>
                </pic:pic>
              </a:graphicData>
            </a:graphic>
          </wp:inline>
        </w:drawing>
      </w:r>
    </w:p>
    <w:p w:rsidR="00AE3B90" w:rsidRDefault="00AE3B90" w:rsidP="00AE3B90">
      <w:pPr>
        <w:pStyle w:val="Default"/>
        <w:rPr>
          <w:color w:val="auto"/>
        </w:rPr>
      </w:pPr>
    </w:p>
    <w:p w:rsidR="00CB65E4" w:rsidRDefault="00CB65E4" w:rsidP="00AE3B90">
      <w:pPr>
        <w:rPr>
          <w:rFonts w:ascii="Calibri" w:hAnsi="Calibri" w:cs="Calibri"/>
          <w:b/>
          <w:bCs/>
        </w:rPr>
      </w:pP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8282391"/>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282391"/>
                    </a:xfrm>
                    <a:prstGeom prst="rect">
                      <a:avLst/>
                    </a:prstGeom>
                    <a:noFill/>
                    <a:ln>
                      <a:noFill/>
                    </a:ln>
                  </pic:spPr>
                </pic:pic>
              </a:graphicData>
            </a:graphic>
          </wp:inline>
        </w:drawing>
      </w:r>
    </w:p>
    <w:p w:rsidR="00CB65E4" w:rsidRDefault="00CB65E4" w:rsidP="00AE3B90">
      <w:pPr>
        <w:rPr>
          <w:rFonts w:ascii="Calibri" w:hAnsi="Calibri" w:cs="Calibri"/>
          <w:b/>
          <w:bCs/>
        </w:rPr>
      </w:pP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8282391"/>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282391"/>
                    </a:xfrm>
                    <a:prstGeom prst="rect">
                      <a:avLst/>
                    </a:prstGeom>
                    <a:noFill/>
                    <a:ln>
                      <a:noFill/>
                    </a:ln>
                  </pic:spPr>
                </pic:pic>
              </a:graphicData>
            </a:graphic>
          </wp:inline>
        </w:drawing>
      </w:r>
    </w:p>
    <w:p w:rsidR="00CB65E4" w:rsidRDefault="00CB65E4" w:rsidP="00AE3B90">
      <w:pPr>
        <w:rPr>
          <w:rFonts w:ascii="Calibri" w:hAnsi="Calibri" w:cs="Calibri"/>
          <w:b/>
          <w:bCs/>
        </w:rPr>
      </w:pP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8282391"/>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282391"/>
                    </a:xfrm>
                    <a:prstGeom prst="rect">
                      <a:avLst/>
                    </a:prstGeom>
                    <a:noFill/>
                    <a:ln>
                      <a:noFill/>
                    </a:ln>
                  </pic:spPr>
                </pic:pic>
              </a:graphicData>
            </a:graphic>
          </wp:inline>
        </w:drawing>
      </w:r>
    </w:p>
    <w:p w:rsidR="00CB65E4" w:rsidRDefault="00CB65E4" w:rsidP="00AE3B90">
      <w:pPr>
        <w:rPr>
          <w:rFonts w:ascii="Calibri" w:hAnsi="Calibri" w:cs="Calibri"/>
          <w:b/>
          <w:bCs/>
        </w:rPr>
      </w:pP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1802020"/>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802020"/>
                    </a:xfrm>
                    <a:prstGeom prst="rect">
                      <a:avLst/>
                    </a:prstGeom>
                    <a:noFill/>
                    <a:ln>
                      <a:noFill/>
                    </a:ln>
                  </pic:spPr>
                </pic:pic>
              </a:graphicData>
            </a:graphic>
          </wp:inline>
        </w:drawing>
      </w: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159041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90419"/>
                    </a:xfrm>
                    <a:prstGeom prst="rect">
                      <a:avLst/>
                    </a:prstGeom>
                    <a:noFill/>
                    <a:ln>
                      <a:noFill/>
                    </a:ln>
                  </pic:spPr>
                </pic:pic>
              </a:graphicData>
            </a:graphic>
          </wp:inline>
        </w:drawing>
      </w: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196628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66284"/>
                    </a:xfrm>
                    <a:prstGeom prst="rect">
                      <a:avLst/>
                    </a:prstGeom>
                    <a:noFill/>
                    <a:ln>
                      <a:noFill/>
                    </a:ln>
                  </pic:spPr>
                </pic:pic>
              </a:graphicData>
            </a:graphic>
          </wp:inline>
        </w:drawing>
      </w:r>
    </w:p>
    <w:p w:rsidR="00CB65E4" w:rsidRDefault="00CB65E4" w:rsidP="00AE3B90">
      <w:pPr>
        <w:rPr>
          <w:rFonts w:ascii="Calibri" w:hAnsi="Calibri" w:cs="Calibri"/>
          <w:b/>
          <w:bCs/>
        </w:rPr>
      </w:pPr>
      <w:r>
        <w:rPr>
          <w:rFonts w:ascii="Calibri" w:hAnsi="Calibri" w:cs="Calibri"/>
          <w:b/>
          <w:bCs/>
          <w:noProof/>
          <w:lang w:eastAsia="en-GB"/>
        </w:rPr>
        <w:drawing>
          <wp:inline distT="0" distB="0" distL="0" distR="0">
            <wp:extent cx="5731510" cy="195651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956515"/>
                    </a:xfrm>
                    <a:prstGeom prst="rect">
                      <a:avLst/>
                    </a:prstGeom>
                    <a:noFill/>
                    <a:ln>
                      <a:noFill/>
                    </a:ln>
                  </pic:spPr>
                </pic:pic>
              </a:graphicData>
            </a:graphic>
          </wp:inline>
        </w:drawing>
      </w:r>
    </w:p>
    <w:p w:rsidR="005B6B8A" w:rsidRDefault="00AE3B90" w:rsidP="00AE3B90">
      <w:pPr>
        <w:rPr>
          <w:rFonts w:ascii="Calibri" w:hAnsi="Calibri" w:cs="Calibri"/>
        </w:rPr>
      </w:pPr>
      <w:r>
        <w:rPr>
          <w:rFonts w:ascii="Calibri" w:hAnsi="Calibri" w:cs="Calibri"/>
          <w:b/>
          <w:bCs/>
        </w:rPr>
        <w:t>Figure 8</w:t>
      </w:r>
      <w:r>
        <w:rPr>
          <w:rFonts w:ascii="Calibri" w:hAnsi="Calibri" w:cs="Calibri"/>
        </w:rPr>
        <w:t xml:space="preserve">. Genomic location of selected DEK </w:t>
      </w:r>
      <w:proofErr w:type="spellStart"/>
      <w:r>
        <w:rPr>
          <w:rFonts w:ascii="Calibri" w:hAnsi="Calibri" w:cs="Calibri"/>
        </w:rPr>
        <w:t>ChIP</w:t>
      </w:r>
      <w:proofErr w:type="spellEnd"/>
      <w:r>
        <w:rPr>
          <w:rFonts w:ascii="Calibri" w:hAnsi="Calibri" w:cs="Calibri"/>
        </w:rPr>
        <w:t>-enriched regions (</w:t>
      </w:r>
      <w:proofErr w:type="spellStart"/>
      <w:r>
        <w:rPr>
          <w:rFonts w:ascii="Calibri" w:hAnsi="Calibri" w:cs="Calibri"/>
        </w:rPr>
        <w:t>ChERs</w:t>
      </w:r>
      <w:proofErr w:type="spellEnd"/>
      <w:r>
        <w:rPr>
          <w:rFonts w:ascii="Calibri" w:hAnsi="Calibri" w:cs="Calibri"/>
        </w:rPr>
        <w:t xml:space="preserve">). The </w:t>
      </w:r>
      <w:proofErr w:type="spellStart"/>
      <w:r>
        <w:rPr>
          <w:rFonts w:ascii="Calibri" w:hAnsi="Calibri" w:cs="Calibri"/>
        </w:rPr>
        <w:t>HuProm</w:t>
      </w:r>
      <w:proofErr w:type="spellEnd"/>
      <w:r>
        <w:rPr>
          <w:rFonts w:ascii="Calibri" w:hAnsi="Calibri" w:cs="Calibri"/>
        </w:rPr>
        <w:t xml:space="preserve"> track shows the location of probes which make up the Agilent Human Promoter array (yellow boxes). The 6 tracks below </w:t>
      </w:r>
      <w:proofErr w:type="spellStart"/>
      <w:r>
        <w:rPr>
          <w:rFonts w:ascii="Calibri" w:hAnsi="Calibri" w:cs="Calibri"/>
        </w:rPr>
        <w:t>HuProm</w:t>
      </w:r>
      <w:proofErr w:type="spellEnd"/>
      <w:r>
        <w:rPr>
          <w:rFonts w:ascii="Calibri" w:hAnsi="Calibri" w:cs="Calibri"/>
        </w:rPr>
        <w:t xml:space="preserve"> show the location of DEK-</w:t>
      </w:r>
      <w:proofErr w:type="spellStart"/>
      <w:r>
        <w:rPr>
          <w:rFonts w:ascii="Calibri" w:hAnsi="Calibri" w:cs="Calibri"/>
        </w:rPr>
        <w:t>ChERs</w:t>
      </w:r>
      <w:proofErr w:type="spellEnd"/>
      <w:r>
        <w:rPr>
          <w:rFonts w:ascii="Calibri" w:hAnsi="Calibri" w:cs="Calibri"/>
        </w:rPr>
        <w:t xml:space="preserve"> for duplicate </w:t>
      </w:r>
      <w:proofErr w:type="spellStart"/>
      <w:r>
        <w:rPr>
          <w:rFonts w:ascii="Calibri" w:hAnsi="Calibri" w:cs="Calibri"/>
        </w:rPr>
        <w:t>ChIP</w:t>
      </w:r>
      <w:proofErr w:type="spellEnd"/>
      <w:r>
        <w:rPr>
          <w:rFonts w:ascii="Calibri" w:hAnsi="Calibri" w:cs="Calibri"/>
        </w:rPr>
        <w:t xml:space="preserve"> experiments for RB32, RB33 and Y79 cell lines (grey boxes). Gene locations in the hg19 genome assembly are shown below </w:t>
      </w:r>
      <w:proofErr w:type="spellStart"/>
      <w:r>
        <w:rPr>
          <w:rFonts w:ascii="Calibri" w:hAnsi="Calibri" w:cs="Calibri"/>
        </w:rPr>
        <w:t>ChERs</w:t>
      </w:r>
      <w:proofErr w:type="spellEnd"/>
      <w:r>
        <w:rPr>
          <w:rFonts w:ascii="Calibri" w:hAnsi="Calibri" w:cs="Calibri"/>
        </w:rPr>
        <w:t>. A. LINC00176 and PRPF6, B. E2F1, C. DIO3 and DIO3OS, D. NCOR2.</w:t>
      </w:r>
    </w:p>
    <w:sectPr w:rsidR="005B6B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B90"/>
    <w:rsid w:val="005B6B8A"/>
    <w:rsid w:val="00AE3B90"/>
    <w:rsid w:val="00CB65E4"/>
    <w:rsid w:val="00DA371A"/>
    <w:rsid w:val="00F84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3B9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B6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5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3B9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B6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5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Maxwell</dc:creator>
  <cp:lastModifiedBy>Petra Maxwell</cp:lastModifiedBy>
  <cp:revision>3</cp:revision>
  <dcterms:created xsi:type="dcterms:W3CDTF">2016-01-05T16:05:00Z</dcterms:created>
  <dcterms:modified xsi:type="dcterms:W3CDTF">2016-01-05T16:21:00Z</dcterms:modified>
</cp:coreProperties>
</file>